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3AA93" w14:textId="04677A52" w:rsidR="00C21C2C" w:rsidRDefault="00C21C2C" w:rsidP="00C21C2C">
      <w:pPr>
        <w:pStyle w:val="NoSpacing"/>
        <w:jc w:val="center"/>
        <w:rPr>
          <w:b/>
          <w:bCs/>
        </w:rPr>
      </w:pPr>
      <w:r>
        <w:rPr>
          <w:b/>
          <w:bCs/>
        </w:rPr>
        <w:t>Attachment 1</w:t>
      </w:r>
      <w:r w:rsidR="00FB2B0D">
        <w:rPr>
          <w:b/>
          <w:bCs/>
        </w:rPr>
        <w:t>2</w:t>
      </w:r>
    </w:p>
    <w:p w14:paraId="45687C06" w14:textId="62890E7C" w:rsidR="00C21C2C" w:rsidRDefault="00C21C2C" w:rsidP="00C21C2C">
      <w:pPr>
        <w:pStyle w:val="NoSpacing"/>
        <w:jc w:val="center"/>
        <w:rPr>
          <w:b/>
          <w:bCs/>
        </w:rPr>
      </w:pPr>
      <w:r>
        <w:rPr>
          <w:b/>
          <w:bCs/>
        </w:rPr>
        <w:t>Contact Sheet</w:t>
      </w:r>
    </w:p>
    <w:p w14:paraId="467B0838" w14:textId="5C8C871D" w:rsidR="00A265D4" w:rsidRPr="00C21C2C" w:rsidRDefault="00A265D4" w:rsidP="00C21C2C">
      <w:pPr>
        <w:pStyle w:val="NoSpacing"/>
        <w:rPr>
          <w:rFonts w:ascii="Times New Roman" w:hAnsi="Times New Roman"/>
          <w:b/>
          <w:bCs/>
        </w:rPr>
      </w:pPr>
      <w:bookmarkStart w:id="0" w:name="_GoBack"/>
      <w:bookmarkEnd w:id="0"/>
      <w:r w:rsidRPr="00C21C2C">
        <w:rPr>
          <w:b/>
          <w:bCs/>
        </w:rPr>
        <w:t xml:space="preserve">Superior Court of California </w:t>
      </w:r>
      <w:r w:rsidRPr="00C21C2C">
        <w:rPr>
          <w:b/>
          <w:bCs/>
          <w:sz w:val="18"/>
          <w:szCs w:val="18"/>
        </w:rPr>
        <w:t xml:space="preserve">COUNTY OF ALAMEDA </w:t>
      </w:r>
    </w:p>
    <w:p w14:paraId="0076A448" w14:textId="77777777" w:rsidR="00C21C2C" w:rsidRDefault="00A265D4" w:rsidP="00C21C2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Procurement Unit Rene C. Davidson Courthouse</w:t>
      </w:r>
      <w:r w:rsidRPr="00A265D4">
        <w:rPr>
          <w:sz w:val="22"/>
          <w:szCs w:val="22"/>
        </w:rPr>
        <w:t xml:space="preserve"> </w:t>
      </w:r>
      <w:r w:rsidRPr="00A265D4">
        <w:rPr>
          <w:sz w:val="22"/>
          <w:szCs w:val="22"/>
        </w:rPr>
        <w:br/>
      </w:r>
      <w:r>
        <w:rPr>
          <w:sz w:val="22"/>
          <w:szCs w:val="22"/>
        </w:rPr>
        <w:t>1225 Fallon Street Ste</w:t>
      </w:r>
      <w:r w:rsidR="006A6F9F">
        <w:rPr>
          <w:sz w:val="22"/>
          <w:szCs w:val="22"/>
        </w:rPr>
        <w:t>.</w:t>
      </w:r>
      <w:r>
        <w:rPr>
          <w:sz w:val="22"/>
          <w:szCs w:val="22"/>
        </w:rPr>
        <w:t xml:space="preserve"> 210, Oakland, CA 94612</w:t>
      </w:r>
    </w:p>
    <w:p w14:paraId="78F729B4" w14:textId="526B7BBB" w:rsidR="00A265D4" w:rsidRPr="00A265D4" w:rsidRDefault="00A265D4" w:rsidP="00C21C2C">
      <w:pPr>
        <w:pStyle w:val="NoSpacing"/>
        <w:rPr>
          <w:rFonts w:ascii="Times New Roman" w:hAnsi="Times New Roman"/>
        </w:rPr>
      </w:pPr>
      <w:r w:rsidRPr="00A265D4">
        <w:rPr>
          <w:sz w:val="22"/>
          <w:szCs w:val="22"/>
        </w:rPr>
        <w:t xml:space="preserve"> </w:t>
      </w:r>
    </w:p>
    <w:p w14:paraId="3D07C4AB" w14:textId="77777777" w:rsidR="00A265D4" w:rsidRPr="00A265D4" w:rsidRDefault="00A265D4" w:rsidP="00A265D4">
      <w:pPr>
        <w:rPr>
          <w:rFonts w:ascii="Times New Roman" w:eastAsia="Times New Roman" w:hAnsi="Times New Roman" w:cs="Times New Roman"/>
        </w:rPr>
      </w:pPr>
      <w:r w:rsidRPr="00A265D4">
        <w:rPr>
          <w:rFonts w:ascii="Times New Roman" w:eastAsia="Times New Roman" w:hAnsi="Times New Roman" w:cs="Times New Roman"/>
        </w:rPr>
        <w:fldChar w:fldCharType="begin"/>
      </w:r>
      <w:r w:rsidR="00B1759F">
        <w:rPr>
          <w:rFonts w:ascii="Times New Roman" w:eastAsia="Times New Roman" w:hAnsi="Times New Roman" w:cs="Times New Roman"/>
        </w:rPr>
        <w:instrText xml:space="preserve"> INCLUDEPICTURE "C:\\var\\folders\\l3\\rjbrg6z92572bvz7dqj90kjr0000gn\\T\\com.microsoft.Word\\WebArchiveCopyPasteTempFiles\\page1image301639024" \* MERGEFORMAT </w:instrText>
      </w:r>
      <w:r w:rsidRPr="00A265D4">
        <w:rPr>
          <w:rFonts w:ascii="Times New Roman" w:eastAsia="Times New Roman" w:hAnsi="Times New Roman" w:cs="Times New Roman"/>
        </w:rPr>
        <w:fldChar w:fldCharType="separate"/>
      </w:r>
      <w:r w:rsidRPr="00A265D4">
        <w:rPr>
          <w:rFonts w:ascii="Times New Roman" w:eastAsia="Times New Roman" w:hAnsi="Times New Roman" w:cs="Times New Roman"/>
          <w:noProof/>
          <w:lang w:eastAsia="en-US"/>
        </w:rPr>
        <w:drawing>
          <wp:inline distT="0" distB="0" distL="0" distR="0" wp14:anchorId="7DE384F1" wp14:editId="1C700325">
            <wp:extent cx="1140460" cy="1140460"/>
            <wp:effectExtent l="0" t="0" r="2540" b="2540"/>
            <wp:docPr id="1" name="Picture 1" descr="page1image301639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1image3016390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5D4">
        <w:rPr>
          <w:rFonts w:ascii="Times New Roman" w:eastAsia="Times New Roman" w:hAnsi="Times New Roman" w:cs="Times New Roman"/>
        </w:rPr>
        <w:fldChar w:fldCharType="end"/>
      </w:r>
    </w:p>
    <w:p w14:paraId="6E10ABB6" w14:textId="77777777" w:rsidR="00A265D4" w:rsidRDefault="00507678" w:rsidP="00A265D4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Reference List: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37"/>
      </w:tblGrid>
      <w:tr w:rsidR="00507678" w14:paraId="0B396B53" w14:textId="77777777" w:rsidTr="00507678">
        <w:trPr>
          <w:trHeight w:val="660"/>
        </w:trPr>
        <w:tc>
          <w:tcPr>
            <w:tcW w:w="9337" w:type="dxa"/>
          </w:tcPr>
          <w:p w14:paraId="10984BEC" w14:textId="77777777" w:rsidR="00507678" w:rsidRPr="00B1759F" w:rsidRDefault="00507678" w:rsidP="00A265D4">
            <w:pPr>
              <w:spacing w:before="100" w:beforeAutospacing="1" w:after="100" w:afterAutospacing="1"/>
              <w:rPr>
                <w:rFonts w:ascii="Rockwell" w:eastAsia="Times New Roman" w:hAnsi="Rockwell" w:cs="Times New Roman"/>
                <w:b/>
                <w:sz w:val="22"/>
                <w:szCs w:val="22"/>
              </w:rPr>
            </w:pPr>
            <w:r w:rsidRPr="00B1759F">
              <w:rPr>
                <w:rFonts w:ascii="Rockwell" w:eastAsia="Times New Roman" w:hAnsi="Rockwell" w:cs="Times New Roman"/>
                <w:b/>
                <w:sz w:val="22"/>
                <w:szCs w:val="22"/>
              </w:rPr>
              <w:t>Reference 1:</w:t>
            </w:r>
          </w:p>
          <w:p w14:paraId="3DA5584E" w14:textId="77777777" w:rsidR="00507678" w:rsidRPr="00507678" w:rsidRDefault="00507678" w:rsidP="00A265D4">
            <w:pPr>
              <w:spacing w:before="100" w:beforeAutospacing="1" w:after="100" w:afterAutospacing="1"/>
              <w:rPr>
                <w:rFonts w:ascii="Rockwell" w:eastAsia="Times New Roman" w:hAnsi="Rockwell" w:cs="Times New Roman"/>
                <w:sz w:val="22"/>
                <w:szCs w:val="22"/>
              </w:rPr>
            </w:pPr>
          </w:p>
        </w:tc>
      </w:tr>
      <w:tr w:rsidR="00507678" w:rsidRPr="00507678" w14:paraId="39C5D28E" w14:textId="77777777" w:rsidTr="00507678">
        <w:trPr>
          <w:trHeight w:val="210"/>
        </w:trPr>
        <w:tc>
          <w:tcPr>
            <w:tcW w:w="9337" w:type="dxa"/>
          </w:tcPr>
          <w:p w14:paraId="34D71177" w14:textId="77777777" w:rsidR="00507678" w:rsidRPr="00507678" w:rsidRDefault="00507678" w:rsidP="00507678">
            <w:pPr>
              <w:spacing w:before="100" w:beforeAutospacing="1" w:after="100" w:afterAutospacing="1"/>
              <w:rPr>
                <w:rFonts w:ascii="Rockwell" w:eastAsia="Times New Roman" w:hAnsi="Rockwell" w:cs="Times New Roman"/>
                <w:sz w:val="22"/>
                <w:szCs w:val="22"/>
              </w:rPr>
            </w:pPr>
          </w:p>
        </w:tc>
      </w:tr>
      <w:tr w:rsidR="00507678" w:rsidRPr="00507678" w14:paraId="1C2718E5" w14:textId="77777777" w:rsidTr="00507678">
        <w:trPr>
          <w:trHeight w:val="210"/>
        </w:trPr>
        <w:tc>
          <w:tcPr>
            <w:tcW w:w="9337" w:type="dxa"/>
          </w:tcPr>
          <w:p w14:paraId="752B60A2" w14:textId="77777777" w:rsidR="00507678" w:rsidRPr="00507678" w:rsidRDefault="00507678" w:rsidP="00A265D4">
            <w:pPr>
              <w:spacing w:before="100" w:beforeAutospacing="1" w:after="100" w:afterAutospacing="1"/>
              <w:rPr>
                <w:rFonts w:ascii="Rockwell" w:eastAsia="Times New Roman" w:hAnsi="Rockwell" w:cs="Times New Roman"/>
                <w:sz w:val="22"/>
                <w:szCs w:val="22"/>
              </w:rPr>
            </w:pPr>
          </w:p>
        </w:tc>
      </w:tr>
      <w:tr w:rsidR="00507678" w:rsidRPr="00507678" w14:paraId="57E31F45" w14:textId="77777777" w:rsidTr="00507678">
        <w:trPr>
          <w:trHeight w:val="210"/>
        </w:trPr>
        <w:tc>
          <w:tcPr>
            <w:tcW w:w="9337" w:type="dxa"/>
          </w:tcPr>
          <w:p w14:paraId="22F2CE5A" w14:textId="77777777" w:rsidR="00507678" w:rsidRPr="00507678" w:rsidRDefault="00507678" w:rsidP="00A265D4">
            <w:pPr>
              <w:spacing w:before="100" w:beforeAutospacing="1" w:after="100" w:afterAutospacing="1"/>
              <w:rPr>
                <w:rFonts w:ascii="Rockwell" w:eastAsia="Times New Roman" w:hAnsi="Rockwell" w:cs="Times New Roman"/>
                <w:sz w:val="22"/>
                <w:szCs w:val="22"/>
              </w:rPr>
            </w:pPr>
          </w:p>
        </w:tc>
      </w:tr>
      <w:tr w:rsidR="00507678" w14:paraId="379B72CB" w14:textId="77777777" w:rsidTr="00507678">
        <w:trPr>
          <w:trHeight w:val="210"/>
        </w:trPr>
        <w:tc>
          <w:tcPr>
            <w:tcW w:w="9337" w:type="dxa"/>
          </w:tcPr>
          <w:p w14:paraId="3F338C55" w14:textId="77777777" w:rsidR="00507678" w:rsidRDefault="00507678" w:rsidP="002E6DD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u w:val="single"/>
                <w:shd w:val="clear" w:color="auto" w:fill="565656"/>
                <w:lang w:val="fr-FR"/>
              </w:rPr>
            </w:pPr>
          </w:p>
        </w:tc>
      </w:tr>
    </w:tbl>
    <w:p w14:paraId="618FAE62" w14:textId="77777777" w:rsidR="00507678" w:rsidRPr="00B1759F" w:rsidRDefault="00507678" w:rsidP="00507678">
      <w:pPr>
        <w:spacing w:before="100" w:beforeAutospacing="1" w:after="100" w:afterAutospacing="1"/>
        <w:rPr>
          <w:rFonts w:ascii="Rockwell" w:eastAsia="Times New Roman" w:hAnsi="Rockwell" w:cs="Times New Roman"/>
          <w:b/>
          <w:sz w:val="22"/>
          <w:szCs w:val="22"/>
        </w:rPr>
      </w:pPr>
      <w:r w:rsidRPr="00B1759F">
        <w:rPr>
          <w:rFonts w:ascii="Rockwell" w:eastAsia="Times New Roman" w:hAnsi="Rockwell" w:cs="Times New Roman"/>
          <w:b/>
          <w:sz w:val="22"/>
          <w:szCs w:val="22"/>
        </w:rPr>
        <w:t>Reference 2: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07678" w:rsidRPr="00507678" w14:paraId="0ECA8966" w14:textId="77777777" w:rsidTr="002E6DD6">
        <w:tc>
          <w:tcPr>
            <w:tcW w:w="9350" w:type="dxa"/>
          </w:tcPr>
          <w:p w14:paraId="6021E13B" w14:textId="77777777" w:rsidR="00507678" w:rsidRPr="00507678" w:rsidRDefault="00507678" w:rsidP="002E6DD6">
            <w:pPr>
              <w:spacing w:before="100" w:beforeAutospacing="1" w:after="100" w:afterAutospacing="1"/>
              <w:rPr>
                <w:rFonts w:ascii="Rockwell" w:eastAsia="Times New Roman" w:hAnsi="Rockwell" w:cs="Times New Roman"/>
                <w:sz w:val="22"/>
                <w:szCs w:val="22"/>
              </w:rPr>
            </w:pPr>
          </w:p>
        </w:tc>
      </w:tr>
      <w:tr w:rsidR="00507678" w:rsidRPr="00507678" w14:paraId="79FA8C40" w14:textId="77777777" w:rsidTr="002E6DD6">
        <w:tc>
          <w:tcPr>
            <w:tcW w:w="9350" w:type="dxa"/>
          </w:tcPr>
          <w:p w14:paraId="0B05D64A" w14:textId="77777777" w:rsidR="00507678" w:rsidRPr="00507678" w:rsidRDefault="00507678" w:rsidP="002E6DD6">
            <w:pPr>
              <w:spacing w:before="100" w:beforeAutospacing="1" w:after="100" w:afterAutospacing="1"/>
              <w:rPr>
                <w:rFonts w:ascii="Rockwell" w:eastAsia="Times New Roman" w:hAnsi="Rockwell" w:cs="Times New Roman"/>
                <w:sz w:val="22"/>
                <w:szCs w:val="22"/>
              </w:rPr>
            </w:pPr>
          </w:p>
        </w:tc>
      </w:tr>
      <w:tr w:rsidR="00507678" w:rsidRPr="00507678" w14:paraId="01270B94" w14:textId="77777777" w:rsidTr="002E6DD6">
        <w:tc>
          <w:tcPr>
            <w:tcW w:w="9350" w:type="dxa"/>
          </w:tcPr>
          <w:p w14:paraId="1BE37C5F" w14:textId="77777777" w:rsidR="00507678" w:rsidRPr="00507678" w:rsidRDefault="00507678" w:rsidP="002E6DD6">
            <w:pPr>
              <w:spacing w:before="100" w:beforeAutospacing="1" w:after="100" w:afterAutospacing="1"/>
              <w:rPr>
                <w:rFonts w:ascii="Rockwell" w:eastAsia="Times New Roman" w:hAnsi="Rockwell" w:cs="Times New Roman"/>
                <w:sz w:val="22"/>
                <w:szCs w:val="22"/>
              </w:rPr>
            </w:pPr>
          </w:p>
        </w:tc>
      </w:tr>
      <w:tr w:rsidR="00507678" w:rsidRPr="00507678" w14:paraId="117338C8" w14:textId="77777777" w:rsidTr="002E6DD6">
        <w:tc>
          <w:tcPr>
            <w:tcW w:w="9350" w:type="dxa"/>
          </w:tcPr>
          <w:p w14:paraId="51F3CFAE" w14:textId="77777777" w:rsidR="00507678" w:rsidRPr="00507678" w:rsidRDefault="00507678" w:rsidP="002E6DD6">
            <w:pPr>
              <w:spacing w:before="100" w:beforeAutospacing="1" w:after="100" w:afterAutospacing="1"/>
              <w:rPr>
                <w:rFonts w:ascii="Rockwell" w:eastAsia="Times New Roman" w:hAnsi="Rockwell" w:cs="Times New Roman"/>
                <w:sz w:val="22"/>
                <w:szCs w:val="22"/>
              </w:rPr>
            </w:pPr>
          </w:p>
        </w:tc>
      </w:tr>
      <w:tr w:rsidR="00507678" w:rsidRPr="00507678" w14:paraId="5B119C36" w14:textId="77777777" w:rsidTr="002E6DD6">
        <w:tc>
          <w:tcPr>
            <w:tcW w:w="9350" w:type="dxa"/>
          </w:tcPr>
          <w:p w14:paraId="0C56052F" w14:textId="77777777" w:rsidR="00507678" w:rsidRPr="00507678" w:rsidRDefault="00507678" w:rsidP="002E6DD6">
            <w:pPr>
              <w:spacing w:before="100" w:beforeAutospacing="1" w:after="100" w:afterAutospacing="1"/>
              <w:rPr>
                <w:rFonts w:ascii="Rockwell" w:eastAsia="Times New Roman" w:hAnsi="Rockwell" w:cs="Times New Roman"/>
                <w:sz w:val="22"/>
                <w:szCs w:val="22"/>
              </w:rPr>
            </w:pPr>
          </w:p>
        </w:tc>
      </w:tr>
    </w:tbl>
    <w:p w14:paraId="4DA2B00A" w14:textId="77777777" w:rsidR="00507678" w:rsidRPr="00B1759F" w:rsidRDefault="00507678" w:rsidP="00507678">
      <w:pPr>
        <w:spacing w:before="100" w:beforeAutospacing="1" w:after="100" w:afterAutospacing="1"/>
        <w:rPr>
          <w:rFonts w:ascii="Rockwell" w:eastAsia="Times New Roman" w:hAnsi="Rockwell" w:cs="Times New Roman"/>
          <w:b/>
          <w:sz w:val="22"/>
          <w:szCs w:val="22"/>
        </w:rPr>
      </w:pPr>
      <w:r w:rsidRPr="00B1759F">
        <w:rPr>
          <w:rFonts w:ascii="Rockwell" w:eastAsia="Times New Roman" w:hAnsi="Rockwell" w:cs="Times New Roman"/>
          <w:b/>
          <w:sz w:val="22"/>
          <w:szCs w:val="22"/>
        </w:rPr>
        <w:t>Reference 3:</w:t>
      </w:r>
      <w:r w:rsidRPr="00B1759F">
        <w:rPr>
          <w:rFonts w:ascii="Rockwell" w:eastAsia="Times New Roman" w:hAnsi="Rockwell" w:cs="Times New Roman"/>
          <w:b/>
          <w:sz w:val="22"/>
          <w:szCs w:val="22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07678" w:rsidRPr="00507678" w14:paraId="7043239E" w14:textId="77777777" w:rsidTr="002E6DD6">
        <w:tc>
          <w:tcPr>
            <w:tcW w:w="9350" w:type="dxa"/>
          </w:tcPr>
          <w:p w14:paraId="7548431A" w14:textId="77777777" w:rsidR="00507678" w:rsidRPr="00507678" w:rsidRDefault="00507678" w:rsidP="002E6DD6">
            <w:pPr>
              <w:spacing w:before="100" w:beforeAutospacing="1" w:after="100" w:afterAutospacing="1"/>
              <w:rPr>
                <w:rFonts w:ascii="Rockwell" w:eastAsia="Times New Roman" w:hAnsi="Rockwell" w:cs="Times New Roman"/>
                <w:sz w:val="22"/>
                <w:szCs w:val="22"/>
              </w:rPr>
            </w:pPr>
          </w:p>
        </w:tc>
      </w:tr>
      <w:tr w:rsidR="00507678" w:rsidRPr="00507678" w14:paraId="3C6471AD" w14:textId="77777777" w:rsidTr="002E6DD6">
        <w:tc>
          <w:tcPr>
            <w:tcW w:w="9350" w:type="dxa"/>
          </w:tcPr>
          <w:p w14:paraId="5ABA693F" w14:textId="77777777" w:rsidR="00507678" w:rsidRPr="00507678" w:rsidRDefault="00507678" w:rsidP="002E6DD6">
            <w:pPr>
              <w:spacing w:before="100" w:beforeAutospacing="1" w:after="100" w:afterAutospacing="1"/>
              <w:rPr>
                <w:rFonts w:ascii="Rockwell" w:eastAsia="Times New Roman" w:hAnsi="Rockwell" w:cs="Times New Roman"/>
                <w:sz w:val="22"/>
                <w:szCs w:val="22"/>
              </w:rPr>
            </w:pPr>
          </w:p>
        </w:tc>
      </w:tr>
      <w:tr w:rsidR="00507678" w:rsidRPr="00507678" w14:paraId="18195913" w14:textId="77777777" w:rsidTr="002E6DD6">
        <w:tc>
          <w:tcPr>
            <w:tcW w:w="9350" w:type="dxa"/>
          </w:tcPr>
          <w:p w14:paraId="7469C0E0" w14:textId="77777777" w:rsidR="00507678" w:rsidRPr="00507678" w:rsidRDefault="00507678" w:rsidP="002E6DD6">
            <w:pPr>
              <w:spacing w:before="100" w:beforeAutospacing="1" w:after="100" w:afterAutospacing="1"/>
              <w:rPr>
                <w:rFonts w:ascii="Rockwell" w:eastAsia="Times New Roman" w:hAnsi="Rockwell" w:cs="Times New Roman"/>
                <w:sz w:val="22"/>
                <w:szCs w:val="22"/>
              </w:rPr>
            </w:pPr>
          </w:p>
        </w:tc>
      </w:tr>
      <w:tr w:rsidR="00507678" w:rsidRPr="00507678" w14:paraId="47E01B04" w14:textId="77777777" w:rsidTr="002E6DD6">
        <w:tc>
          <w:tcPr>
            <w:tcW w:w="9350" w:type="dxa"/>
          </w:tcPr>
          <w:p w14:paraId="1F7ADF95" w14:textId="77777777" w:rsidR="00507678" w:rsidRPr="00507678" w:rsidRDefault="00507678" w:rsidP="002E6DD6">
            <w:pPr>
              <w:spacing w:before="100" w:beforeAutospacing="1" w:after="100" w:afterAutospacing="1"/>
              <w:rPr>
                <w:rFonts w:ascii="Rockwell" w:eastAsia="Times New Roman" w:hAnsi="Rockwell" w:cs="Times New Roman"/>
                <w:sz w:val="22"/>
                <w:szCs w:val="22"/>
              </w:rPr>
            </w:pPr>
          </w:p>
        </w:tc>
      </w:tr>
      <w:tr w:rsidR="00507678" w:rsidRPr="00507678" w14:paraId="7372E5A0" w14:textId="77777777" w:rsidTr="002E6DD6">
        <w:tc>
          <w:tcPr>
            <w:tcW w:w="9350" w:type="dxa"/>
          </w:tcPr>
          <w:p w14:paraId="7B7931A8" w14:textId="77777777" w:rsidR="00507678" w:rsidRPr="00507678" w:rsidRDefault="00507678" w:rsidP="002E6DD6">
            <w:pPr>
              <w:spacing w:before="100" w:beforeAutospacing="1" w:after="100" w:afterAutospacing="1"/>
              <w:rPr>
                <w:rFonts w:ascii="Rockwell" w:eastAsia="Times New Roman" w:hAnsi="Rockwell" w:cs="Times New Roman"/>
                <w:sz w:val="22"/>
                <w:szCs w:val="22"/>
              </w:rPr>
            </w:pPr>
          </w:p>
        </w:tc>
      </w:tr>
    </w:tbl>
    <w:p w14:paraId="19E02509" w14:textId="77777777" w:rsidR="00507678" w:rsidRDefault="00507678" w:rsidP="00A265D4">
      <w:pPr>
        <w:pStyle w:val="NoSpacing"/>
        <w:rPr>
          <w:rFonts w:ascii="Segoe UI Symbol" w:hAnsi="Segoe UI Symbol" w:cs="Segoe UI Symbol"/>
        </w:rPr>
      </w:pPr>
    </w:p>
    <w:p w14:paraId="46F99220" w14:textId="77777777" w:rsidR="00A265D4" w:rsidRPr="0031736F" w:rsidRDefault="00507678" w:rsidP="00A265D4">
      <w:pPr>
        <w:pStyle w:val="NoSpacing"/>
        <w:rPr>
          <w:rFonts w:cstheme="minorHAnsi"/>
          <w:sz w:val="28"/>
          <w:szCs w:val="28"/>
        </w:rPr>
      </w:pPr>
      <w:r w:rsidRPr="0031736F">
        <w:rPr>
          <w:rFonts w:cstheme="minorHAnsi"/>
          <w:sz w:val="28"/>
          <w:szCs w:val="28"/>
        </w:rPr>
        <w:t xml:space="preserve">Include Reference list with your RFP package and mail to the address below.  </w:t>
      </w:r>
    </w:p>
    <w:p w14:paraId="6F67B6E1" w14:textId="77777777" w:rsidR="00507678" w:rsidRDefault="00507678" w:rsidP="00A265D4">
      <w:pPr>
        <w:pStyle w:val="NoSpacing"/>
      </w:pPr>
    </w:p>
    <w:p w14:paraId="78DFCD19" w14:textId="77777777" w:rsidR="00A265D4" w:rsidRDefault="00A265D4" w:rsidP="00A265D4">
      <w:pPr>
        <w:pStyle w:val="NoSpacing"/>
      </w:pPr>
      <w:r w:rsidRPr="00A265D4">
        <w:t xml:space="preserve">Superior Court of California, County of Alameda </w:t>
      </w:r>
    </w:p>
    <w:p w14:paraId="3CCC1F8F" w14:textId="6D5BE348" w:rsidR="00344B89" w:rsidRDefault="00A265D4" w:rsidP="00507678">
      <w:pPr>
        <w:pStyle w:val="NoSpacing"/>
      </w:pPr>
      <w:r w:rsidRPr="00A265D4">
        <w:t xml:space="preserve">Attn: Procurement, </w:t>
      </w:r>
      <w:r w:rsidR="0031736F" w:rsidRPr="0031736F">
        <w:t>SC 1801.2021.1</w:t>
      </w:r>
      <w:r w:rsidRPr="00A265D4">
        <w:br/>
        <w:t>1225 Fallon Street, Room 210</w:t>
      </w:r>
      <w:r w:rsidRPr="00A265D4">
        <w:br/>
        <w:t xml:space="preserve">Oakland, CA 94612 </w:t>
      </w:r>
    </w:p>
    <w:sectPr w:rsidR="00344B89" w:rsidSect="00AA613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209CB" w14:textId="77777777" w:rsidR="00F4665E" w:rsidRDefault="00F4665E" w:rsidP="00B1759F">
      <w:r>
        <w:separator/>
      </w:r>
    </w:p>
  </w:endnote>
  <w:endnote w:type="continuationSeparator" w:id="0">
    <w:p w14:paraId="6477C96F" w14:textId="77777777" w:rsidR="00F4665E" w:rsidRDefault="00F4665E" w:rsidP="00B17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356402" w14:textId="77777777" w:rsidR="00F4665E" w:rsidRDefault="00F4665E" w:rsidP="00B1759F">
      <w:r>
        <w:separator/>
      </w:r>
    </w:p>
  </w:footnote>
  <w:footnote w:type="continuationSeparator" w:id="0">
    <w:p w14:paraId="1D2E44D5" w14:textId="77777777" w:rsidR="00F4665E" w:rsidRDefault="00F4665E" w:rsidP="00B17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5ACD9" w14:textId="77777777" w:rsidR="00297D16" w:rsidRPr="0031736F" w:rsidRDefault="00297D16" w:rsidP="00297D16">
    <w:pPr>
      <w:pStyle w:val="CommentText"/>
      <w:tabs>
        <w:tab w:val="left" w:pos="1242"/>
      </w:tabs>
      <w:ind w:right="252"/>
      <w:jc w:val="both"/>
      <w:rPr>
        <w:rFonts w:asciiTheme="minorHAnsi" w:hAnsiTheme="minorHAnsi" w:cstheme="minorHAnsi"/>
        <w:color w:val="000000"/>
        <w:sz w:val="24"/>
        <w:szCs w:val="24"/>
      </w:rPr>
    </w:pPr>
    <w:r w:rsidRPr="0031736F">
      <w:rPr>
        <w:rFonts w:asciiTheme="minorHAnsi" w:hAnsiTheme="minorHAnsi" w:cstheme="minorHAnsi"/>
        <w:sz w:val="24"/>
        <w:szCs w:val="24"/>
      </w:rPr>
      <w:t xml:space="preserve">RFP Title: </w:t>
    </w:r>
    <w:r w:rsidRPr="0031736F">
      <w:rPr>
        <w:rFonts w:asciiTheme="minorHAnsi" w:hAnsiTheme="minorHAnsi" w:cstheme="minorHAnsi"/>
        <w:iCs/>
        <w:sz w:val="24"/>
        <w:szCs w:val="24"/>
      </w:rPr>
      <w:t>Armored Car Pickup Services</w:t>
    </w:r>
  </w:p>
  <w:p w14:paraId="4884FD70" w14:textId="77777777" w:rsidR="00297D16" w:rsidRPr="0031736F" w:rsidRDefault="00297D16" w:rsidP="00297D16">
    <w:pPr>
      <w:pStyle w:val="CommentText"/>
      <w:tabs>
        <w:tab w:val="left" w:pos="1242"/>
      </w:tabs>
      <w:ind w:right="252"/>
      <w:jc w:val="both"/>
      <w:rPr>
        <w:rFonts w:asciiTheme="minorHAnsi" w:hAnsiTheme="minorHAnsi" w:cstheme="minorHAnsi"/>
        <w:iCs/>
        <w:color w:val="000000"/>
        <w:sz w:val="24"/>
        <w:szCs w:val="24"/>
      </w:rPr>
    </w:pPr>
    <w:r w:rsidRPr="0031736F">
      <w:rPr>
        <w:rFonts w:asciiTheme="minorHAnsi" w:hAnsiTheme="minorHAnsi" w:cstheme="minorHAnsi"/>
        <w:sz w:val="24"/>
        <w:szCs w:val="24"/>
      </w:rPr>
      <w:t>RFP Number:</w:t>
    </w:r>
    <w:r w:rsidRPr="0031736F">
      <w:rPr>
        <w:rFonts w:asciiTheme="minorHAnsi" w:hAnsiTheme="minorHAnsi" w:cstheme="minorHAnsi"/>
        <w:color w:val="000000"/>
        <w:sz w:val="24"/>
        <w:szCs w:val="24"/>
      </w:rPr>
      <w:t xml:space="preserve"> </w:t>
    </w:r>
    <w:r w:rsidRPr="0031736F">
      <w:rPr>
        <w:rFonts w:asciiTheme="minorHAnsi" w:hAnsiTheme="minorHAnsi" w:cstheme="minorHAnsi"/>
        <w:iCs/>
        <w:sz w:val="24"/>
        <w:szCs w:val="24"/>
      </w:rPr>
      <w:t>SC 1801.2021.1</w:t>
    </w:r>
  </w:p>
  <w:p w14:paraId="385EA34D" w14:textId="77777777" w:rsidR="00B1759F" w:rsidRDefault="00B175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5D4"/>
    <w:rsid w:val="002054AB"/>
    <w:rsid w:val="00297D16"/>
    <w:rsid w:val="0031736F"/>
    <w:rsid w:val="00507678"/>
    <w:rsid w:val="005B63E8"/>
    <w:rsid w:val="006A39FB"/>
    <w:rsid w:val="006A6F9F"/>
    <w:rsid w:val="0095249E"/>
    <w:rsid w:val="00A265D4"/>
    <w:rsid w:val="00AA6138"/>
    <w:rsid w:val="00B1759F"/>
    <w:rsid w:val="00B70CE5"/>
    <w:rsid w:val="00C21C2C"/>
    <w:rsid w:val="00DC2B34"/>
    <w:rsid w:val="00DE5B48"/>
    <w:rsid w:val="00F4665E"/>
    <w:rsid w:val="00FB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9E6EF"/>
  <w15:chartTrackingRefBased/>
  <w15:docId w15:val="{A5776404-BE5E-F140-9A94-8763E717C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65D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A265D4"/>
  </w:style>
  <w:style w:type="table" w:styleId="TableGrid">
    <w:name w:val="Table Grid"/>
    <w:basedOn w:val="TableNormal"/>
    <w:uiPriority w:val="39"/>
    <w:rsid w:val="00507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75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759F"/>
  </w:style>
  <w:style w:type="paragraph" w:styleId="Footer">
    <w:name w:val="footer"/>
    <w:basedOn w:val="Normal"/>
    <w:link w:val="FooterChar"/>
    <w:uiPriority w:val="99"/>
    <w:unhideWhenUsed/>
    <w:rsid w:val="00B175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759F"/>
  </w:style>
  <w:style w:type="paragraph" w:styleId="CommentText">
    <w:name w:val="annotation text"/>
    <w:basedOn w:val="Normal"/>
    <w:link w:val="CommentTextChar"/>
    <w:uiPriority w:val="99"/>
    <w:unhideWhenUsed/>
    <w:rsid w:val="00C21C2C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1C2C"/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6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7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07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1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Sanchez</dc:creator>
  <cp:keywords/>
  <dc:description/>
  <cp:lastModifiedBy>Bradford, Anthony, Superior Court</cp:lastModifiedBy>
  <cp:revision>11</cp:revision>
  <dcterms:created xsi:type="dcterms:W3CDTF">2019-02-21T23:32:00Z</dcterms:created>
  <dcterms:modified xsi:type="dcterms:W3CDTF">2021-05-04T22:09:00Z</dcterms:modified>
</cp:coreProperties>
</file>