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bookmarkStart w:id="0" w:name="_GoBack"/>
            <w:bookmarkEnd w:id="0"/>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66ADA94F" w:rsidR="008B50E8" w:rsidRPr="002B367F" w:rsidRDefault="00E47AC4" w:rsidP="008B50E8">
            <w:pPr>
              <w:pStyle w:val="JCCReportCoverSubhead"/>
              <w:rPr>
                <w:rFonts w:ascii="Arial" w:hAnsi="Arial" w:cs="Arial"/>
                <w:b/>
                <w:i/>
                <w:color w:val="FF0000"/>
                <w:szCs w:val="28"/>
              </w:rPr>
            </w:pPr>
            <w:r>
              <w:rPr>
                <w:rFonts w:ascii="Arial" w:hAnsi="Arial" w:cs="Arial"/>
                <w:b/>
                <w:i/>
                <w:color w:val="FF0000"/>
                <w:szCs w:val="28"/>
              </w:rPr>
              <w:t>Superior court of california, county of alameda</w:t>
            </w:r>
          </w:p>
          <w:p w14:paraId="052E225A" w14:textId="77777777" w:rsidR="008B50E8" w:rsidRPr="009E10B7" w:rsidRDefault="008B50E8" w:rsidP="00105F4B">
            <w:pPr>
              <w:pStyle w:val="JCCReportCoverSubhead"/>
              <w:rPr>
                <w:rFonts w:ascii="Arial" w:hAnsi="Arial" w:cs="Arial"/>
                <w:b/>
                <w:szCs w:val="28"/>
              </w:rPr>
            </w:pPr>
          </w:p>
          <w:p w14:paraId="6E993533" w14:textId="77AA13FB" w:rsidR="00B2110A" w:rsidRPr="00A40508"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B2110A" w:rsidRPr="00A40508">
              <w:rPr>
                <w:rFonts w:ascii="Arial" w:hAnsi="Arial" w:cs="Arial"/>
                <w:i/>
                <w:caps w:val="0"/>
                <w:szCs w:val="28"/>
              </w:rPr>
              <w:t>Painting Services</w:t>
            </w:r>
          </w:p>
          <w:p w14:paraId="55E87C9C" w14:textId="04999742" w:rsidR="008B50E8" w:rsidRPr="003C5025" w:rsidRDefault="00B2110A" w:rsidP="00105F4B">
            <w:pPr>
              <w:pStyle w:val="JCCReportCoverSubhead"/>
              <w:rPr>
                <w:rFonts w:ascii="Arial" w:hAnsi="Arial" w:cs="Arial"/>
                <w:szCs w:val="28"/>
              </w:rPr>
            </w:pPr>
            <w:r w:rsidRPr="00A40508">
              <w:rPr>
                <w:rFonts w:ascii="Arial" w:hAnsi="Arial" w:cs="Arial"/>
                <w:i/>
                <w:caps w:val="0"/>
                <w:szCs w:val="28"/>
              </w:rPr>
              <w:t>RFP SC 1806.2020.2</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1F7C0C86" w:rsidR="008B50E8" w:rsidRDefault="00EE7EDC" w:rsidP="00105F4B">
            <w:pPr>
              <w:pStyle w:val="Header"/>
              <w:tabs>
                <w:tab w:val="clear" w:pos="4320"/>
                <w:tab w:val="clear" w:pos="8640"/>
              </w:tabs>
              <w:autoSpaceDE w:val="0"/>
              <w:autoSpaceDN w:val="0"/>
              <w:adjustRightInd w:val="0"/>
              <w:rPr>
                <w:rFonts w:ascii="Arial" w:hAnsi="Arial" w:cs="Arial"/>
                <w:bCs/>
                <w:smallCaps/>
                <w:sz w:val="28"/>
                <w:szCs w:val="20"/>
              </w:rPr>
            </w:pPr>
            <w:r w:rsidRPr="00A40508">
              <w:rPr>
                <w:rFonts w:ascii="Arial" w:hAnsi="Arial" w:cs="Arial"/>
                <w:sz w:val="28"/>
                <w:szCs w:val="28"/>
              </w:rPr>
              <w:t>May 21, 2020</w:t>
            </w:r>
            <w:r w:rsidRPr="00A40508">
              <w:rPr>
                <w:rFonts w:ascii="Arial" w:hAnsi="Arial" w:cs="Arial"/>
                <w:i/>
                <w:sz w:val="28"/>
                <w:szCs w:val="28"/>
              </w:rPr>
              <w:t xml:space="preserve"> </w:t>
            </w:r>
            <w:r w:rsidR="008B50E8" w:rsidRPr="00A40508">
              <w:rPr>
                <w:rFonts w:ascii="Arial" w:hAnsi="Arial" w:cs="Arial"/>
                <w:bCs/>
                <w:smallCaps/>
                <w:sz w:val="28"/>
                <w:szCs w:val="28"/>
              </w:rPr>
              <w:t xml:space="preserve">no later than </w:t>
            </w:r>
            <w:r w:rsidRPr="00A40508">
              <w:rPr>
                <w:rFonts w:ascii="Arial" w:hAnsi="Arial" w:cs="Arial"/>
                <w:sz w:val="28"/>
                <w:szCs w:val="28"/>
              </w:rPr>
              <w:t>3:00</w:t>
            </w:r>
            <w:r w:rsidR="008B50E8" w:rsidRPr="00A40508">
              <w:rPr>
                <w:rFonts w:ascii="Arial" w:hAnsi="Arial" w:cs="Arial"/>
                <w:i/>
                <w:caps/>
                <w:sz w:val="22"/>
                <w:szCs w:val="28"/>
              </w:rPr>
              <w:t xml:space="preserve"> </w:t>
            </w:r>
            <w:r w:rsidR="008B50E8" w:rsidRPr="00A40508">
              <w:rPr>
                <w:rFonts w:ascii="Arial" w:hAnsi="Arial" w:cs="Arial"/>
                <w:bCs/>
                <w:smallCaps/>
                <w:sz w:val="28"/>
                <w:szCs w:val="20"/>
              </w:rPr>
              <w:t xml:space="preserve">p.m. Pacific </w:t>
            </w:r>
            <w:r w:rsidR="003C5025">
              <w:rPr>
                <w:rFonts w:ascii="Arial" w:hAnsi="Arial" w:cs="Arial"/>
                <w:bCs/>
                <w:smallCaps/>
                <w:sz w:val="28"/>
                <w:szCs w:val="20"/>
              </w:rPr>
              <w:t>T</w:t>
            </w:r>
            <w:r w:rsidR="008B50E8" w:rsidRPr="00A40508">
              <w:rPr>
                <w:rFonts w:ascii="Arial" w:hAnsi="Arial" w:cs="Arial"/>
                <w:bCs/>
                <w:smallCaps/>
                <w:sz w:val="28"/>
                <w:szCs w:val="20"/>
              </w:rPr>
              <w:t xml:space="preserve">ime </w:t>
            </w:r>
          </w:p>
          <w:p w14:paraId="74F92427" w14:textId="7A128796" w:rsidR="00ED6192" w:rsidRPr="00A40508" w:rsidRDefault="00ED6192"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Cs/>
                <w:smallCaps/>
                <w:sz w:val="28"/>
                <w:szCs w:val="20"/>
              </w:rPr>
              <w:t xml:space="preserve">[Amended] </w:t>
            </w:r>
            <w:r w:rsidR="007F17FC">
              <w:rPr>
                <w:rFonts w:ascii="Arial" w:hAnsi="Arial" w:cs="Arial"/>
                <w:sz w:val="28"/>
                <w:szCs w:val="28"/>
              </w:rPr>
              <w:t>May 29</w:t>
            </w:r>
            <w:r w:rsidRPr="00ED6192">
              <w:rPr>
                <w:rFonts w:ascii="Arial" w:hAnsi="Arial" w:cs="Arial"/>
                <w:sz w:val="28"/>
                <w:szCs w:val="28"/>
              </w:rPr>
              <w:t>, 2020 no later than 3:00 p.m. Pacific Time</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1D7CD0D1" w14:textId="77777777" w:rsidR="00AF3A84" w:rsidRDefault="00AF3A84" w:rsidP="00C37FF7">
      <w:pPr>
        <w:jc w:val="center"/>
        <w:rPr>
          <w:b/>
          <w:bCs/>
          <w:sz w:val="26"/>
          <w:szCs w:val="26"/>
        </w:rPr>
        <w:sectPr w:rsidR="00AF3A84" w:rsidSect="0088206E">
          <w:footerReference w:type="default" r:id="rId8"/>
          <w:pgSz w:w="12240" w:h="15840"/>
          <w:pgMar w:top="1440" w:right="1440" w:bottom="1440" w:left="1440" w:header="720" w:footer="720" w:gutter="0"/>
          <w:cols w:space="720"/>
          <w:docGrid w:linePitch="360"/>
        </w:sectPr>
      </w:pPr>
    </w:p>
    <w:p w14:paraId="5476C0C9" w14:textId="77777777" w:rsidR="003070CF" w:rsidRDefault="003070CF" w:rsidP="00C37FF7">
      <w:pPr>
        <w:keepNext/>
        <w:ind w:left="720" w:hanging="720"/>
        <w:rPr>
          <w:bCs/>
        </w:rPr>
      </w:pPr>
    </w:p>
    <w:p w14:paraId="250C5D89" w14:textId="6B802E9F" w:rsidR="00E47AC4" w:rsidRPr="003070CF" w:rsidRDefault="003070CF" w:rsidP="00C37FF7">
      <w:pPr>
        <w:keepNext/>
        <w:ind w:left="720" w:hanging="720"/>
        <w:rPr>
          <w:b/>
          <w:bCs/>
          <w:sz w:val="32"/>
        </w:rPr>
      </w:pPr>
      <w:r w:rsidRPr="003070CF">
        <w:rPr>
          <w:b/>
          <w:bCs/>
          <w:sz w:val="32"/>
        </w:rPr>
        <w:t>Index</w:t>
      </w:r>
    </w:p>
    <w:p w14:paraId="24A631FC" w14:textId="6F6C26B3" w:rsidR="00E47AC4" w:rsidRPr="00C40313" w:rsidRDefault="00E47AC4" w:rsidP="00837DE4">
      <w:pPr>
        <w:keepNext/>
        <w:rPr>
          <w:bCs/>
        </w:rPr>
      </w:pPr>
    </w:p>
    <w:p w14:paraId="23158210" w14:textId="19BE61AB" w:rsidR="00E47AC4" w:rsidRPr="00C40313" w:rsidRDefault="00E47AC4" w:rsidP="00837DE4">
      <w:pPr>
        <w:keepNext/>
        <w:rPr>
          <w:bCs/>
        </w:rPr>
      </w:pPr>
      <w:r w:rsidRPr="00C40313">
        <w:rPr>
          <w:bCs/>
        </w:rPr>
        <w:t>1.0</w:t>
      </w:r>
      <w:r w:rsidRPr="00C40313">
        <w:rPr>
          <w:bCs/>
        </w:rPr>
        <w:tab/>
        <w:t>Introduction</w:t>
      </w:r>
    </w:p>
    <w:p w14:paraId="623D0B5A" w14:textId="23C28517" w:rsidR="00E47AC4" w:rsidRPr="00C40313" w:rsidRDefault="00E47AC4" w:rsidP="00837DE4">
      <w:pPr>
        <w:keepNext/>
        <w:rPr>
          <w:bCs/>
        </w:rPr>
      </w:pPr>
      <w:r w:rsidRPr="00C40313">
        <w:rPr>
          <w:bCs/>
        </w:rPr>
        <w:t>2.0</w:t>
      </w:r>
      <w:r w:rsidRPr="00C40313">
        <w:rPr>
          <w:bCs/>
        </w:rPr>
        <w:tab/>
        <w:t>Purpose of RFP</w:t>
      </w:r>
    </w:p>
    <w:p w14:paraId="06B4AE6E" w14:textId="1A2C72E8" w:rsidR="00E47AC4" w:rsidRPr="00C40313" w:rsidRDefault="00E47AC4" w:rsidP="00837DE4">
      <w:pPr>
        <w:keepNext/>
        <w:rPr>
          <w:bCs/>
        </w:rPr>
      </w:pPr>
      <w:r w:rsidRPr="00C40313">
        <w:rPr>
          <w:bCs/>
        </w:rPr>
        <w:t>3.0</w:t>
      </w:r>
      <w:r w:rsidRPr="00C40313">
        <w:rPr>
          <w:bCs/>
        </w:rPr>
        <w:tab/>
        <w:t>Project Description and Site Information</w:t>
      </w:r>
    </w:p>
    <w:p w14:paraId="300745C0" w14:textId="4E69B162" w:rsidR="00E47AC4" w:rsidRPr="00C40313" w:rsidRDefault="000A26F5" w:rsidP="00837DE4">
      <w:pPr>
        <w:keepNext/>
        <w:rPr>
          <w:bCs/>
        </w:rPr>
      </w:pPr>
      <w:r>
        <w:rPr>
          <w:bCs/>
        </w:rPr>
        <w:t>4.0</w:t>
      </w:r>
      <w:r>
        <w:rPr>
          <w:bCs/>
        </w:rPr>
        <w:tab/>
        <w:t>Timeline for this RFP</w:t>
      </w:r>
    </w:p>
    <w:p w14:paraId="1B47C57B" w14:textId="5870F9BC" w:rsidR="00E47AC4" w:rsidRPr="00C40313" w:rsidRDefault="000A26F5" w:rsidP="00837DE4">
      <w:pPr>
        <w:keepNext/>
        <w:rPr>
          <w:bCs/>
        </w:rPr>
      </w:pPr>
      <w:r>
        <w:rPr>
          <w:bCs/>
        </w:rPr>
        <w:t>5.0</w:t>
      </w:r>
      <w:r>
        <w:rPr>
          <w:bCs/>
        </w:rPr>
        <w:tab/>
        <w:t>RFP Attachments</w:t>
      </w:r>
    </w:p>
    <w:p w14:paraId="32A06F26" w14:textId="77F2DFBB" w:rsidR="00E47AC4" w:rsidRPr="00C40313" w:rsidRDefault="000A26F5" w:rsidP="00837DE4">
      <w:pPr>
        <w:keepNext/>
        <w:rPr>
          <w:bCs/>
        </w:rPr>
      </w:pPr>
      <w:r>
        <w:rPr>
          <w:bCs/>
        </w:rPr>
        <w:t>6.0</w:t>
      </w:r>
      <w:r>
        <w:rPr>
          <w:bCs/>
        </w:rPr>
        <w:tab/>
        <w:t>Payment Information</w:t>
      </w:r>
    </w:p>
    <w:p w14:paraId="077DCEB2" w14:textId="267A6100" w:rsidR="00E47AC4" w:rsidRPr="00C40313" w:rsidRDefault="000A26F5" w:rsidP="00837DE4">
      <w:pPr>
        <w:keepNext/>
        <w:rPr>
          <w:bCs/>
        </w:rPr>
      </w:pPr>
      <w:r>
        <w:rPr>
          <w:bCs/>
        </w:rPr>
        <w:t>7.0</w:t>
      </w:r>
      <w:r>
        <w:rPr>
          <w:bCs/>
        </w:rPr>
        <w:tab/>
        <w:t>Pre-proposal Site Visit</w:t>
      </w:r>
    </w:p>
    <w:p w14:paraId="7DD316A9" w14:textId="5BFA8BF3" w:rsidR="00E47AC4" w:rsidRDefault="000A26F5" w:rsidP="00837DE4">
      <w:pPr>
        <w:keepNext/>
        <w:rPr>
          <w:bCs/>
        </w:rPr>
      </w:pPr>
      <w:r>
        <w:rPr>
          <w:bCs/>
        </w:rPr>
        <w:t>8.0</w:t>
      </w:r>
      <w:r>
        <w:rPr>
          <w:bCs/>
        </w:rPr>
        <w:tab/>
        <w:t>Submission of Proposals</w:t>
      </w:r>
    </w:p>
    <w:p w14:paraId="35D7C12B" w14:textId="28442F3C" w:rsidR="000A26F5" w:rsidRDefault="000A26F5" w:rsidP="00837DE4">
      <w:pPr>
        <w:keepNext/>
        <w:rPr>
          <w:bCs/>
        </w:rPr>
      </w:pPr>
      <w:r>
        <w:rPr>
          <w:bCs/>
        </w:rPr>
        <w:t>9.0</w:t>
      </w:r>
      <w:r>
        <w:rPr>
          <w:bCs/>
        </w:rPr>
        <w:tab/>
        <w:t>Proposal Contents</w:t>
      </w:r>
    </w:p>
    <w:p w14:paraId="5AD4CBC4" w14:textId="68A88BA9" w:rsidR="000A26F5" w:rsidRDefault="000A26F5" w:rsidP="00837DE4">
      <w:pPr>
        <w:keepNext/>
        <w:rPr>
          <w:bCs/>
        </w:rPr>
      </w:pPr>
      <w:r>
        <w:rPr>
          <w:bCs/>
        </w:rPr>
        <w:t>10.0</w:t>
      </w:r>
      <w:r>
        <w:rPr>
          <w:bCs/>
        </w:rPr>
        <w:tab/>
        <w:t>Offer Period</w:t>
      </w:r>
    </w:p>
    <w:p w14:paraId="2502BC6C" w14:textId="0DC200FC" w:rsidR="000A26F5" w:rsidRPr="00C40313" w:rsidRDefault="000A26F5" w:rsidP="00837DE4">
      <w:pPr>
        <w:keepNext/>
        <w:rPr>
          <w:bCs/>
        </w:rPr>
      </w:pPr>
      <w:r>
        <w:rPr>
          <w:bCs/>
        </w:rPr>
        <w:t>11.0</w:t>
      </w:r>
      <w:r>
        <w:rPr>
          <w:bCs/>
        </w:rPr>
        <w:tab/>
        <w:t>Evaluation of Proposals</w:t>
      </w:r>
    </w:p>
    <w:p w14:paraId="3B96ABA7" w14:textId="6972FF7A" w:rsidR="00E47AC4" w:rsidRDefault="002F1509" w:rsidP="00837DE4">
      <w:pPr>
        <w:keepNext/>
        <w:rPr>
          <w:bCs/>
        </w:rPr>
      </w:pPr>
      <w:r>
        <w:rPr>
          <w:bCs/>
        </w:rPr>
        <w:t>12.0</w:t>
      </w:r>
      <w:r>
        <w:rPr>
          <w:bCs/>
        </w:rPr>
        <w:tab/>
        <w:t>Confidential or Proprietary Information</w:t>
      </w:r>
    </w:p>
    <w:p w14:paraId="7801C8F4" w14:textId="6AF8570A" w:rsidR="00E47AC4" w:rsidRDefault="002F1509" w:rsidP="00837DE4">
      <w:pPr>
        <w:keepNext/>
        <w:rPr>
          <w:bCs/>
        </w:rPr>
      </w:pPr>
      <w:r>
        <w:rPr>
          <w:bCs/>
        </w:rPr>
        <w:t>13.0</w:t>
      </w:r>
      <w:r>
        <w:rPr>
          <w:bCs/>
        </w:rPr>
        <w:tab/>
        <w:t>Small Business Preference</w:t>
      </w:r>
    </w:p>
    <w:p w14:paraId="543017C3" w14:textId="35593FB4" w:rsidR="002F1509" w:rsidRDefault="002F1509" w:rsidP="00837DE4">
      <w:pPr>
        <w:keepNext/>
        <w:rPr>
          <w:bCs/>
        </w:rPr>
      </w:pPr>
      <w:r>
        <w:rPr>
          <w:bCs/>
        </w:rPr>
        <w:t xml:space="preserve">14.0 </w:t>
      </w:r>
      <w:r>
        <w:rPr>
          <w:bCs/>
        </w:rPr>
        <w:tab/>
        <w:t>Disabled Veteran Business Enterprise Incentive</w:t>
      </w:r>
    </w:p>
    <w:p w14:paraId="6123900E" w14:textId="30F9A64E" w:rsidR="00161C8D" w:rsidRPr="00161C8D" w:rsidRDefault="002F1509" w:rsidP="00161C8D">
      <w:pPr>
        <w:keepNext/>
        <w:rPr>
          <w:bCs/>
        </w:rPr>
      </w:pPr>
      <w:r>
        <w:rPr>
          <w:bCs/>
        </w:rPr>
        <w:t>15.0</w:t>
      </w:r>
      <w:r>
        <w:rPr>
          <w:bCs/>
        </w:rPr>
        <w:tab/>
        <w:t>Protests</w:t>
      </w:r>
    </w:p>
    <w:p w14:paraId="3B7188E8" w14:textId="134BAB10" w:rsidR="0061505A" w:rsidRDefault="0061505A" w:rsidP="00837DE4">
      <w:pPr>
        <w:keepNext/>
        <w:rPr>
          <w:b/>
          <w:bCs/>
        </w:rPr>
      </w:pPr>
    </w:p>
    <w:p w14:paraId="58EE4852" w14:textId="77777777" w:rsidR="0061505A" w:rsidRPr="00837DE4" w:rsidRDefault="0061505A" w:rsidP="00837DE4">
      <w:pPr>
        <w:keepNext/>
        <w:rPr>
          <w:b/>
          <w:bCs/>
        </w:rPr>
      </w:pPr>
    </w:p>
    <w:p w14:paraId="3FE33874" w14:textId="347F5E4D" w:rsidR="002F1509" w:rsidRDefault="002F1509" w:rsidP="003070CF">
      <w:pPr>
        <w:keepNext/>
        <w:rPr>
          <w:bCs/>
        </w:rPr>
      </w:pPr>
    </w:p>
    <w:p w14:paraId="15517A74" w14:textId="71D37CBE" w:rsidR="003070CF" w:rsidRDefault="003070CF" w:rsidP="003070CF">
      <w:pPr>
        <w:keepNext/>
        <w:rPr>
          <w:bCs/>
        </w:rPr>
      </w:pPr>
    </w:p>
    <w:p w14:paraId="59658599" w14:textId="26C33319" w:rsidR="003070CF" w:rsidRDefault="003070CF" w:rsidP="003070CF">
      <w:pPr>
        <w:keepNext/>
        <w:rPr>
          <w:bCs/>
        </w:rPr>
      </w:pPr>
    </w:p>
    <w:p w14:paraId="298C0ADE" w14:textId="7C89B6BE" w:rsidR="003070CF" w:rsidRDefault="003070CF" w:rsidP="003070CF">
      <w:pPr>
        <w:keepNext/>
        <w:rPr>
          <w:bCs/>
        </w:rPr>
      </w:pPr>
    </w:p>
    <w:p w14:paraId="4A349DE5" w14:textId="5F9A323B" w:rsidR="003070CF" w:rsidRDefault="003070CF" w:rsidP="003070CF">
      <w:pPr>
        <w:keepNext/>
        <w:rPr>
          <w:bCs/>
        </w:rPr>
      </w:pPr>
    </w:p>
    <w:p w14:paraId="3985EBAF" w14:textId="61AF61C7" w:rsidR="003070CF" w:rsidRDefault="003070CF" w:rsidP="003070CF">
      <w:pPr>
        <w:keepNext/>
        <w:rPr>
          <w:bCs/>
        </w:rPr>
      </w:pPr>
    </w:p>
    <w:p w14:paraId="2046FAE4" w14:textId="5E13D05F" w:rsidR="003070CF" w:rsidRDefault="003070CF" w:rsidP="003070CF">
      <w:pPr>
        <w:keepNext/>
        <w:rPr>
          <w:bCs/>
        </w:rPr>
      </w:pPr>
    </w:p>
    <w:p w14:paraId="392DBAA8" w14:textId="2A5E9952" w:rsidR="003070CF" w:rsidRDefault="003070CF" w:rsidP="003070CF">
      <w:pPr>
        <w:keepNext/>
        <w:rPr>
          <w:bCs/>
        </w:rPr>
      </w:pPr>
    </w:p>
    <w:p w14:paraId="0A2CB3E9" w14:textId="6FFEB24E" w:rsidR="003070CF" w:rsidRDefault="003070CF" w:rsidP="003070CF">
      <w:pPr>
        <w:keepNext/>
        <w:rPr>
          <w:bCs/>
        </w:rPr>
      </w:pPr>
    </w:p>
    <w:p w14:paraId="190B512D" w14:textId="6235E21E" w:rsidR="003070CF" w:rsidRDefault="003070CF" w:rsidP="003070CF">
      <w:pPr>
        <w:keepNext/>
        <w:rPr>
          <w:bCs/>
        </w:rPr>
      </w:pPr>
    </w:p>
    <w:p w14:paraId="483090A2" w14:textId="0A297ABC" w:rsidR="003070CF" w:rsidRDefault="003070CF" w:rsidP="003070CF">
      <w:pPr>
        <w:keepNext/>
        <w:rPr>
          <w:bCs/>
        </w:rPr>
      </w:pPr>
    </w:p>
    <w:p w14:paraId="745636A4" w14:textId="2A7B2232" w:rsidR="003070CF" w:rsidRDefault="003070CF" w:rsidP="003070CF">
      <w:pPr>
        <w:keepNext/>
        <w:rPr>
          <w:bCs/>
        </w:rPr>
      </w:pPr>
    </w:p>
    <w:p w14:paraId="50DBB24D" w14:textId="17542185" w:rsidR="003070CF" w:rsidRDefault="003070CF" w:rsidP="003070CF">
      <w:pPr>
        <w:keepNext/>
        <w:rPr>
          <w:bCs/>
        </w:rPr>
      </w:pPr>
    </w:p>
    <w:p w14:paraId="1196B43A" w14:textId="5D8CBE6E" w:rsidR="003070CF" w:rsidRDefault="003070CF" w:rsidP="003070CF">
      <w:pPr>
        <w:keepNext/>
        <w:rPr>
          <w:bCs/>
        </w:rPr>
      </w:pPr>
    </w:p>
    <w:p w14:paraId="7B7265FD" w14:textId="6EBF878E" w:rsidR="003070CF" w:rsidRDefault="003070CF" w:rsidP="003070CF">
      <w:pPr>
        <w:keepNext/>
        <w:rPr>
          <w:bCs/>
        </w:rPr>
      </w:pPr>
    </w:p>
    <w:p w14:paraId="44C03B1C" w14:textId="1DA88A00" w:rsidR="003070CF" w:rsidRDefault="003070CF" w:rsidP="003070CF">
      <w:pPr>
        <w:keepNext/>
        <w:rPr>
          <w:bCs/>
        </w:rPr>
      </w:pPr>
    </w:p>
    <w:p w14:paraId="65C2D9E5" w14:textId="7F2E135C" w:rsidR="003070CF" w:rsidRDefault="003070CF" w:rsidP="003070CF">
      <w:pPr>
        <w:keepNext/>
        <w:rPr>
          <w:bCs/>
        </w:rPr>
      </w:pPr>
    </w:p>
    <w:p w14:paraId="25A9A337" w14:textId="77E732F1" w:rsidR="003070CF" w:rsidRDefault="003070CF" w:rsidP="003070CF">
      <w:pPr>
        <w:keepNext/>
        <w:rPr>
          <w:bCs/>
        </w:rPr>
      </w:pPr>
    </w:p>
    <w:p w14:paraId="7B9A5011" w14:textId="69FE9A94" w:rsidR="003070CF" w:rsidRDefault="003070CF" w:rsidP="003070CF">
      <w:pPr>
        <w:keepNext/>
        <w:rPr>
          <w:bCs/>
        </w:rPr>
      </w:pPr>
    </w:p>
    <w:p w14:paraId="677D0A16" w14:textId="42F8E487" w:rsidR="003070CF" w:rsidRDefault="003070CF" w:rsidP="003070CF">
      <w:pPr>
        <w:keepNext/>
        <w:rPr>
          <w:bCs/>
        </w:rPr>
      </w:pPr>
    </w:p>
    <w:p w14:paraId="6163F684" w14:textId="52F5203C" w:rsidR="003070CF" w:rsidRDefault="003070CF" w:rsidP="003070CF">
      <w:pPr>
        <w:keepNext/>
        <w:rPr>
          <w:bCs/>
        </w:rPr>
      </w:pPr>
    </w:p>
    <w:p w14:paraId="20E2886C" w14:textId="2D985CEB" w:rsidR="003070CF" w:rsidRDefault="003070CF" w:rsidP="003070CF">
      <w:pPr>
        <w:keepNext/>
        <w:rPr>
          <w:bCs/>
        </w:rPr>
      </w:pPr>
    </w:p>
    <w:p w14:paraId="49317A5D" w14:textId="0A301735" w:rsidR="003070CF" w:rsidRDefault="003070CF" w:rsidP="003070CF">
      <w:pPr>
        <w:keepNext/>
        <w:rPr>
          <w:bCs/>
        </w:rPr>
      </w:pPr>
    </w:p>
    <w:p w14:paraId="71F7026D" w14:textId="2C24F5F4" w:rsidR="003070CF" w:rsidRDefault="003070CF" w:rsidP="003070CF">
      <w:pPr>
        <w:keepNext/>
        <w:rPr>
          <w:bCs/>
        </w:rPr>
      </w:pPr>
    </w:p>
    <w:p w14:paraId="20FC49EA" w14:textId="09AC594C" w:rsidR="003070CF" w:rsidRDefault="003070CF" w:rsidP="003070CF">
      <w:pPr>
        <w:keepNext/>
        <w:rPr>
          <w:bCs/>
        </w:rPr>
      </w:pPr>
    </w:p>
    <w:p w14:paraId="33EA706F" w14:textId="77777777" w:rsidR="003070CF" w:rsidRDefault="003070CF" w:rsidP="003070CF">
      <w:pPr>
        <w:keepNext/>
        <w:rPr>
          <w:bCs/>
        </w:rPr>
      </w:pPr>
    </w:p>
    <w:p w14:paraId="75E937F8" w14:textId="4D4A8BD5" w:rsidR="00C37FF7" w:rsidRPr="002F1509" w:rsidRDefault="00C37FF7" w:rsidP="00C37FF7">
      <w:pPr>
        <w:keepNext/>
        <w:ind w:left="720" w:hanging="720"/>
        <w:rPr>
          <w:b/>
          <w:bCs/>
        </w:rPr>
      </w:pPr>
      <w:r w:rsidRPr="002F1509">
        <w:rPr>
          <w:b/>
          <w:bCs/>
        </w:rPr>
        <w:lastRenderedPageBreak/>
        <w:t>1.0</w:t>
      </w:r>
      <w:r w:rsidRPr="002F1509">
        <w:rPr>
          <w:b/>
          <w:bCs/>
        </w:rPr>
        <w:tab/>
      </w:r>
      <w:r w:rsidR="00CA53D0" w:rsidRPr="002F1509">
        <w:rPr>
          <w:b/>
          <w:bCs/>
        </w:rPr>
        <w:t>Introduction</w:t>
      </w:r>
    </w:p>
    <w:p w14:paraId="0F15090D" w14:textId="77777777" w:rsidR="00C37FF7" w:rsidRDefault="00C37FF7" w:rsidP="00C37FF7">
      <w:pPr>
        <w:keepNext/>
      </w:pPr>
    </w:p>
    <w:p w14:paraId="3508F730" w14:textId="5D8B1657" w:rsidR="00C37FF7" w:rsidRPr="00D11767" w:rsidRDefault="003D1030" w:rsidP="00837DE4">
      <w:pPr>
        <w:pStyle w:val="ListParagraph"/>
        <w:keepNext/>
        <w:numPr>
          <w:ilvl w:val="1"/>
          <w:numId w:val="12"/>
        </w:numPr>
        <w:rPr>
          <w:rStyle w:val="Hyperlink"/>
          <w:color w:val="FF0000"/>
          <w:u w:val="none"/>
        </w:rPr>
      </w:pPr>
      <w:r w:rsidRPr="00606E1C">
        <w:t>This Request for Proposals (“RFP”) is the means f</w:t>
      </w:r>
      <w:r w:rsidR="0093149F">
        <w:t>or interested Painting Contractors</w:t>
      </w:r>
      <w:r w:rsidR="00856B4A">
        <w:t>, hereinafter “Contractor,”</w:t>
      </w:r>
      <w:r w:rsidRPr="00606E1C">
        <w:t xml:space="preserve"> to submit their Statements of Qualifications (“SOQ”) and Fee Proposals (collectively, “Proposal(s)”) to the Superior Court of California, County of Alameda (“Court”) for the services described herein. The RFP and all related documents and addenda are available in electronic form at </w:t>
      </w:r>
      <w:hyperlink r:id="rId9" w:history="1">
        <w:r w:rsidRPr="00837DE4">
          <w:rPr>
            <w:rStyle w:val="Hyperlink"/>
          </w:rPr>
          <w:t>www.alameda.courts.ca.gov</w:t>
        </w:r>
      </w:hyperlink>
    </w:p>
    <w:p w14:paraId="7E60CED9" w14:textId="77777777" w:rsidR="00D11767" w:rsidRPr="00837DE4" w:rsidRDefault="00D11767" w:rsidP="00D11767">
      <w:pPr>
        <w:pStyle w:val="ListParagraph"/>
        <w:keepNext/>
        <w:ind w:left="1440"/>
        <w:rPr>
          <w:color w:val="FF0000"/>
        </w:rPr>
      </w:pPr>
    </w:p>
    <w:p w14:paraId="0016AB66" w14:textId="24AC7CBC" w:rsidR="003D1030" w:rsidRDefault="00A93E2D" w:rsidP="00837DE4">
      <w:pPr>
        <w:pStyle w:val="ListParagraph"/>
        <w:keepNext/>
        <w:numPr>
          <w:ilvl w:val="1"/>
          <w:numId w:val="12"/>
        </w:numPr>
      </w:pPr>
      <w:r>
        <w:t xml:space="preserve">The Court’s Facilities Unit is responsible for providing quality facilities management. The unit ensures that the Court facilities are safe, secure, and operable in compliance with all applicable laws, codes, and regulations. The Facilities Unit coordinates judicial and staff moves, is responsible for asset and key management throughout the Court, and oversees the building access system. </w:t>
      </w:r>
    </w:p>
    <w:p w14:paraId="0839EED9" w14:textId="77777777" w:rsidR="00D11767" w:rsidRDefault="00D11767" w:rsidP="00D11767">
      <w:pPr>
        <w:pStyle w:val="ListParagraph"/>
        <w:keepNext/>
        <w:ind w:left="1440"/>
      </w:pPr>
    </w:p>
    <w:p w14:paraId="75040172" w14:textId="302A6DB5" w:rsidR="00D11767" w:rsidRDefault="00D11767" w:rsidP="00D11767">
      <w:pPr>
        <w:pStyle w:val="ListParagraph"/>
        <w:keepNext/>
        <w:numPr>
          <w:ilvl w:val="1"/>
          <w:numId w:val="12"/>
        </w:numPr>
      </w:pPr>
      <w:r>
        <w:t>The initial contract will be for a two (2) year period</w:t>
      </w:r>
      <w:r w:rsidR="00F16421">
        <w:t xml:space="preserve"> starting June 14, 2020, and will be renewable </w:t>
      </w:r>
      <w:r w:rsidR="00EB19EA">
        <w:t xml:space="preserve">at the option of the Court for up to two (2) additional two (2) year periods. </w:t>
      </w:r>
    </w:p>
    <w:p w14:paraId="58FF1EA4" w14:textId="3617075E" w:rsidR="00381806" w:rsidRDefault="00381806" w:rsidP="00837DE4">
      <w:pPr>
        <w:keepNext/>
      </w:pPr>
    </w:p>
    <w:p w14:paraId="2C828328" w14:textId="16D2125C" w:rsidR="00381806" w:rsidRPr="002F1509" w:rsidRDefault="00381806" w:rsidP="00837DE4">
      <w:pPr>
        <w:keepNext/>
        <w:rPr>
          <w:b/>
        </w:rPr>
      </w:pPr>
      <w:r w:rsidRPr="002F1509">
        <w:rPr>
          <w:b/>
        </w:rPr>
        <w:t>2.0</w:t>
      </w:r>
      <w:r w:rsidRPr="002F1509">
        <w:rPr>
          <w:b/>
        </w:rPr>
        <w:tab/>
        <w:t>Purpose of RFP</w:t>
      </w:r>
    </w:p>
    <w:p w14:paraId="14171968" w14:textId="35290F50" w:rsidR="00381806" w:rsidRDefault="00381806" w:rsidP="00837DE4">
      <w:pPr>
        <w:keepNext/>
      </w:pPr>
    </w:p>
    <w:p w14:paraId="58EF9E72" w14:textId="1C345707" w:rsidR="00381806" w:rsidRDefault="00381806" w:rsidP="00381806">
      <w:pPr>
        <w:keepNext/>
        <w:ind w:left="1440" w:hanging="720"/>
      </w:pPr>
      <w:r>
        <w:t>2.1</w:t>
      </w:r>
      <w:r>
        <w:tab/>
        <w:t>The Court seeks to retain the services of a qua</w:t>
      </w:r>
      <w:r w:rsidR="0093149F">
        <w:t>lified painting contractor</w:t>
      </w:r>
      <w:r w:rsidR="002E3F50">
        <w:t xml:space="preserve"> to complete the Painting P</w:t>
      </w:r>
      <w:r>
        <w:t>roject</w:t>
      </w:r>
      <w:r w:rsidR="0050293C">
        <w:t>(s)</w:t>
      </w:r>
      <w:r>
        <w:t xml:space="preserve"> described herein </w:t>
      </w:r>
      <w:r w:rsidRPr="004B60B0">
        <w:t>and in Contract Documents (“Project”).</w:t>
      </w:r>
      <w:r>
        <w:t xml:space="preserve"> The Court is seeking Statements of Qualif</w:t>
      </w:r>
      <w:r w:rsidR="0093149F">
        <w:t>ications and Proposals from Contractors to provide painting</w:t>
      </w:r>
      <w:r>
        <w:t xml:space="preserve"> services for the </w:t>
      </w:r>
      <w:r w:rsidRPr="004B60B0">
        <w:t>Project,</w:t>
      </w:r>
      <w:r>
        <w:t xml:space="preserve"> subject to </w:t>
      </w:r>
      <w:r w:rsidR="0050293C">
        <w:t xml:space="preserve">terms and </w:t>
      </w:r>
      <w:r>
        <w:t>conditions described in this RFP.</w:t>
      </w:r>
    </w:p>
    <w:p w14:paraId="76D54DF9" w14:textId="1F8AFC67" w:rsidR="00381806" w:rsidRDefault="00381806" w:rsidP="00381806">
      <w:pPr>
        <w:keepNext/>
        <w:ind w:left="1440" w:hanging="720"/>
      </w:pPr>
    </w:p>
    <w:p w14:paraId="3201C154" w14:textId="4AB31974" w:rsidR="00381806" w:rsidRDefault="00381806" w:rsidP="00381806">
      <w:pPr>
        <w:keepNext/>
        <w:ind w:left="1440" w:hanging="720"/>
      </w:pPr>
      <w:r>
        <w:t>2.2</w:t>
      </w:r>
      <w:r>
        <w:tab/>
        <w:t xml:space="preserve">The Court intends to award the </w:t>
      </w:r>
      <w:r w:rsidRPr="004B60B0">
        <w:t>Project</w:t>
      </w:r>
      <w:r w:rsidR="00856B4A">
        <w:t xml:space="preserve"> to</w:t>
      </w:r>
      <w:r w:rsidR="00EB19EA">
        <w:t xml:space="preserve"> </w:t>
      </w:r>
      <w:r w:rsidR="005949A7">
        <w:t>one or more</w:t>
      </w:r>
      <w:r w:rsidR="00EB19EA">
        <w:t xml:space="preserve"> Contractors a</w:t>
      </w:r>
      <w:r>
        <w:t xml:space="preserve">nd issue a Notice to Proceed in a timely manner following the selection process indicated herein. </w:t>
      </w:r>
    </w:p>
    <w:p w14:paraId="73831ECD" w14:textId="58BEC12D" w:rsidR="00D11767" w:rsidRDefault="00D11767" w:rsidP="00381806">
      <w:pPr>
        <w:keepNext/>
        <w:ind w:left="1440" w:hanging="720"/>
      </w:pPr>
    </w:p>
    <w:p w14:paraId="2905C67F" w14:textId="2BB0874B" w:rsidR="00D11767" w:rsidRDefault="00D11767" w:rsidP="00381806">
      <w:pPr>
        <w:keepNext/>
        <w:ind w:left="1440" w:hanging="720"/>
      </w:pPr>
      <w:r>
        <w:t>2.3</w:t>
      </w:r>
      <w:r>
        <w:tab/>
        <w:t>The Court intends to reques</w:t>
      </w:r>
      <w:r w:rsidR="00856B4A">
        <w:t>t services from the awarded Contractor</w:t>
      </w:r>
      <w:r>
        <w:t xml:space="preserve"> on an as-needed basis. </w:t>
      </w:r>
      <w:r w:rsidR="004B60B0">
        <w:t>Services will be requested through the issuance of a Work Order (</w:t>
      </w:r>
      <w:r w:rsidR="004B60B0" w:rsidRPr="00C31058">
        <w:t>Attachment</w:t>
      </w:r>
      <w:r w:rsidR="00856B4A" w:rsidRPr="00C31058">
        <w:t xml:space="preserve"> 14</w:t>
      </w:r>
      <w:r w:rsidR="004B60B0">
        <w:t>) by the Court.</w:t>
      </w:r>
    </w:p>
    <w:p w14:paraId="310D0B08" w14:textId="75461488" w:rsidR="00631615" w:rsidRDefault="00631615" w:rsidP="00837DE4">
      <w:pPr>
        <w:keepNext/>
      </w:pPr>
    </w:p>
    <w:p w14:paraId="1C8E9799" w14:textId="3D0872DF" w:rsidR="00631615" w:rsidRPr="002F1509" w:rsidRDefault="00631615" w:rsidP="00837DE4">
      <w:pPr>
        <w:keepNext/>
        <w:rPr>
          <w:b/>
        </w:rPr>
      </w:pPr>
      <w:r w:rsidRPr="002F1509">
        <w:rPr>
          <w:b/>
        </w:rPr>
        <w:t>3.0</w:t>
      </w:r>
      <w:r w:rsidRPr="002F1509">
        <w:rPr>
          <w:b/>
        </w:rPr>
        <w:tab/>
        <w:t>Project Description and Site Information</w:t>
      </w:r>
    </w:p>
    <w:p w14:paraId="082BB945" w14:textId="4826856C" w:rsidR="00631615" w:rsidRDefault="00631615" w:rsidP="00837DE4">
      <w:pPr>
        <w:keepNext/>
      </w:pPr>
    </w:p>
    <w:p w14:paraId="08D94B77" w14:textId="56775DB1" w:rsidR="00631615" w:rsidRDefault="00631615" w:rsidP="00763214">
      <w:pPr>
        <w:keepNext/>
        <w:ind w:left="1440" w:hanging="720"/>
      </w:pPr>
      <w:r>
        <w:t>3.1</w:t>
      </w:r>
      <w:r>
        <w:tab/>
        <w:t xml:space="preserve">The </w:t>
      </w:r>
      <w:r w:rsidRPr="004B60B0">
        <w:t>Project</w:t>
      </w:r>
      <w:r>
        <w:t xml:space="preserve"> includes painting of walls and ceilings in various court buildings </w:t>
      </w:r>
      <w:r w:rsidR="002E3F50">
        <w:t>throughout Alameda County. The P</w:t>
      </w:r>
      <w:r>
        <w:t>roject requires coordination with the Court to ensure its cont</w:t>
      </w:r>
      <w:r w:rsidR="002E3F50">
        <w:t>inued operation throughout the P</w:t>
      </w:r>
      <w:r>
        <w:t xml:space="preserve">roject as set forth in the Contract Documents. </w:t>
      </w:r>
    </w:p>
    <w:p w14:paraId="3E2A4AE8" w14:textId="77777777" w:rsidR="00606E1C" w:rsidRDefault="00606E1C" w:rsidP="00763214">
      <w:pPr>
        <w:keepNext/>
        <w:ind w:left="1440" w:hanging="720"/>
      </w:pPr>
    </w:p>
    <w:p w14:paraId="5FB15260" w14:textId="6154B473" w:rsidR="00631615" w:rsidRDefault="002E3F50" w:rsidP="00A40508">
      <w:pPr>
        <w:pStyle w:val="ListParagraph"/>
        <w:keepNext/>
        <w:numPr>
          <w:ilvl w:val="0"/>
          <w:numId w:val="22"/>
        </w:numPr>
        <w:ind w:left="1890"/>
      </w:pPr>
      <w:r>
        <w:t>The P</w:t>
      </w:r>
      <w:r w:rsidR="00631615">
        <w:t xml:space="preserve">roject will be performed on an as-needed basis and will include the following scope of work: </w:t>
      </w:r>
    </w:p>
    <w:p w14:paraId="57DBAF77" w14:textId="7FB08397" w:rsidR="00631615" w:rsidRDefault="00631615" w:rsidP="00A40508">
      <w:pPr>
        <w:pStyle w:val="ListParagraph"/>
        <w:keepNext/>
        <w:numPr>
          <w:ilvl w:val="0"/>
          <w:numId w:val="13"/>
        </w:numPr>
        <w:ind w:left="2250"/>
      </w:pPr>
      <w:r>
        <w:t>Move and protect furniture in the path of work as-needed.</w:t>
      </w:r>
    </w:p>
    <w:p w14:paraId="31B534C3" w14:textId="592933B2" w:rsidR="00631615" w:rsidRDefault="00631615" w:rsidP="00A40508">
      <w:pPr>
        <w:pStyle w:val="ListParagraph"/>
        <w:keepNext/>
        <w:numPr>
          <w:ilvl w:val="0"/>
          <w:numId w:val="13"/>
        </w:numPr>
        <w:ind w:left="2250"/>
      </w:pPr>
      <w:r>
        <w:t>Protect flooring and other surfaces.</w:t>
      </w:r>
    </w:p>
    <w:p w14:paraId="1CB11FB7" w14:textId="54FC737A" w:rsidR="00631615" w:rsidRDefault="00631615" w:rsidP="00A40508">
      <w:pPr>
        <w:pStyle w:val="ListParagraph"/>
        <w:keepNext/>
        <w:numPr>
          <w:ilvl w:val="0"/>
          <w:numId w:val="13"/>
        </w:numPr>
        <w:ind w:left="2250"/>
      </w:pPr>
      <w:r>
        <w:t>Patch all drywall and/or plaster damage</w:t>
      </w:r>
    </w:p>
    <w:p w14:paraId="7F17D9CC" w14:textId="3EA435B7" w:rsidR="00631615" w:rsidRDefault="00631615" w:rsidP="00A40508">
      <w:pPr>
        <w:pStyle w:val="ListParagraph"/>
        <w:keepNext/>
        <w:numPr>
          <w:ilvl w:val="0"/>
          <w:numId w:val="13"/>
        </w:numPr>
        <w:ind w:left="2250"/>
      </w:pPr>
      <w:r>
        <w:t>Paint Surfaces with Swiss Coffee Semi-Gloss paint. Note: color may vary depending on location.</w:t>
      </w:r>
    </w:p>
    <w:p w14:paraId="70D6096B" w14:textId="2D5F7A8B" w:rsidR="00763214" w:rsidRDefault="00631615" w:rsidP="00A40508">
      <w:pPr>
        <w:pStyle w:val="ListParagraph"/>
        <w:keepNext/>
        <w:numPr>
          <w:ilvl w:val="0"/>
          <w:numId w:val="13"/>
        </w:numPr>
        <w:ind w:left="2250"/>
      </w:pPr>
      <w:r>
        <w:t xml:space="preserve">Provide final cleaning services. </w:t>
      </w:r>
    </w:p>
    <w:p w14:paraId="42ECF339" w14:textId="77777777" w:rsidR="00FD1833" w:rsidRDefault="00FD1833" w:rsidP="00606E1C">
      <w:pPr>
        <w:keepNext/>
      </w:pPr>
    </w:p>
    <w:p w14:paraId="252505B7" w14:textId="30B0E708" w:rsidR="00763214" w:rsidRDefault="00763214" w:rsidP="00837DE4">
      <w:pPr>
        <w:keepNext/>
        <w:ind w:left="720"/>
      </w:pPr>
      <w:r>
        <w:t>3.2</w:t>
      </w:r>
      <w:r>
        <w:tab/>
        <w:t>Payment of Prevailing Wages.</w:t>
      </w:r>
    </w:p>
    <w:p w14:paraId="0D9BE025" w14:textId="77777777" w:rsidR="00606E1C" w:rsidRDefault="00606E1C" w:rsidP="00837DE4">
      <w:pPr>
        <w:keepNext/>
        <w:ind w:left="720"/>
      </w:pPr>
    </w:p>
    <w:p w14:paraId="08F2197F" w14:textId="53856630" w:rsidR="00763214" w:rsidRDefault="0093149F" w:rsidP="00A40508">
      <w:pPr>
        <w:pStyle w:val="ListParagraph"/>
        <w:keepNext/>
        <w:numPr>
          <w:ilvl w:val="0"/>
          <w:numId w:val="16"/>
        </w:numPr>
        <w:ind w:left="1890"/>
      </w:pPr>
      <w:r>
        <w:t>The selected Contractor</w:t>
      </w:r>
      <w:r w:rsidR="00763214">
        <w:t>, and a</w:t>
      </w:r>
      <w:r>
        <w:t>ll subcontractors under the Contractor</w:t>
      </w:r>
      <w:r w:rsidR="00763214">
        <w:t>, must pay all workers on the Project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w:t>
      </w:r>
      <w:r w:rsidR="009B7ABD">
        <w:t xml:space="preserve"> Labor Code. Copies of the general prevailing rates of per diem wages for each craft, classification, or type of worker needed to execute the Project, as determined by Director of the State of California Department of Industrial Relations, are on file at the Court’s principal office. Prevailing wage rates are also available from the Court or on the internet at </w:t>
      </w:r>
      <w:hyperlink r:id="rId10" w:history="1">
        <w:r w:rsidR="009B7ABD" w:rsidRPr="009B7ABD">
          <w:rPr>
            <w:rStyle w:val="Hyperlink"/>
          </w:rPr>
          <w:t>https://www.dir.ca.gov/oprl/dprewagedetermination.htm</w:t>
        </w:r>
      </w:hyperlink>
      <w:r w:rsidR="009B7ABD">
        <w:t xml:space="preserve">. If it becomes necessary to employ a craft, classification or type of worker other than those listed on the internet at </w:t>
      </w:r>
      <w:hyperlink r:id="rId11" w:history="1">
        <w:r w:rsidR="009B7ABD" w:rsidRPr="009B7ABD">
          <w:rPr>
            <w:rStyle w:val="Hyperlink"/>
          </w:rPr>
          <w:t>https://www.dir.ca.gov/oprl/dprewagedetermination.htm</w:t>
        </w:r>
      </w:hyperlink>
      <w:r>
        <w:t xml:space="preserve"> the Contractor</w:t>
      </w:r>
      <w:r w:rsidR="009B7ABD">
        <w:t xml:space="preserve"> shall contact the Division of Labor Statistics and Research to find the appropriate prevailing wage determination. If the Division of Labor Statistics and Research is unable to identify a determination that is applicable, the Contractor shall notify the Court immediately, and the Court will request a special determination from the Division of Labor Statistics and Research. The rate thus determined shall be applicable from the commencement of the Project. </w:t>
      </w:r>
    </w:p>
    <w:p w14:paraId="36E9F20D" w14:textId="77777777" w:rsidR="00ED164A" w:rsidRDefault="00ED164A" w:rsidP="00837DE4">
      <w:pPr>
        <w:pStyle w:val="ListParagraph"/>
        <w:keepNext/>
        <w:ind w:left="2520"/>
      </w:pPr>
    </w:p>
    <w:p w14:paraId="5550909F" w14:textId="1A7AC24C" w:rsidR="0071453E" w:rsidRDefault="0093149F" w:rsidP="00A40508">
      <w:pPr>
        <w:pStyle w:val="ListParagraph"/>
        <w:keepNext/>
        <w:numPr>
          <w:ilvl w:val="0"/>
          <w:numId w:val="16"/>
        </w:numPr>
        <w:ind w:left="1890"/>
      </w:pPr>
      <w:r>
        <w:t>The selected Contractor</w:t>
      </w:r>
      <w:r w:rsidR="0071453E">
        <w:t xml:space="preserve"> shall comply with the registration and compliance monitoring provisions of Labor Code section 1771.4, including furnishing its certified payroll records to the Labor Commissioner of California and complying with any applicable enforcement by the Department of Industrial Relations. Labor Code section 1771.1(a) states the following: </w:t>
      </w:r>
    </w:p>
    <w:p w14:paraId="6B301B27" w14:textId="7343A4F3" w:rsidR="00763214" w:rsidRDefault="00763214" w:rsidP="00837DE4">
      <w:pPr>
        <w:pStyle w:val="ListParagraph"/>
        <w:keepNext/>
        <w:ind w:left="2520"/>
      </w:pPr>
    </w:p>
    <w:p w14:paraId="051BF50B" w14:textId="49418A5E" w:rsidR="0071453E" w:rsidRDefault="0071453E" w:rsidP="00A40508">
      <w:pPr>
        <w:pStyle w:val="ListParagraph"/>
        <w:keepNext/>
        <w:ind w:left="1890"/>
      </w:pPr>
      <w:r>
        <w:t>“A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work pursuant to section 1725.5 at the time the contract is awarded.”</w:t>
      </w:r>
    </w:p>
    <w:p w14:paraId="4CDCFDD6" w14:textId="7B801047" w:rsidR="0071453E" w:rsidRDefault="0071453E" w:rsidP="00837DE4">
      <w:pPr>
        <w:keepNext/>
      </w:pPr>
    </w:p>
    <w:p w14:paraId="7AFD5F50" w14:textId="26699273" w:rsidR="0071453E" w:rsidRDefault="0093149F" w:rsidP="00A40508">
      <w:pPr>
        <w:pStyle w:val="ListParagraph"/>
        <w:keepNext/>
        <w:numPr>
          <w:ilvl w:val="0"/>
          <w:numId w:val="16"/>
        </w:numPr>
        <w:ind w:left="1890"/>
      </w:pPr>
      <w:r>
        <w:t>The selected Contractor</w:t>
      </w:r>
      <w:r w:rsidR="00ED164A">
        <w:t xml:space="preserve"> shall, and shall ensure that all “subcontractors” (as defined by Labor Code section 1722.1), shall comply with Labor Code section 1725.5, including without limitation the registration requirements with the Department of Industrial Relations that are set forth in Lab</w:t>
      </w:r>
      <w:r>
        <w:t>or Code Section 1725.5. The Contractor</w:t>
      </w:r>
      <w:r w:rsidR="00ED164A">
        <w:t xml:space="preserve"> represents to the Court that all “subcontractors” (as defined by Labor Code Section 1722.1)</w:t>
      </w:r>
      <w:r w:rsidR="00720D3F">
        <w:t xml:space="preserve"> are registered pursuant to Labo</w:t>
      </w:r>
      <w:r>
        <w:t>r Code Section 1725.5. Each Contractor</w:t>
      </w:r>
      <w:r w:rsidR="00720D3F">
        <w:t xml:space="preserve"> acknowledges that, for purposes of Labor Code Section 1725.5, this work is public work to which Labor Code Section 1771 applies. </w:t>
      </w:r>
    </w:p>
    <w:p w14:paraId="320E46E3" w14:textId="359454D2" w:rsidR="00720D3F" w:rsidRDefault="00720D3F" w:rsidP="00837DE4">
      <w:pPr>
        <w:keepNext/>
      </w:pPr>
    </w:p>
    <w:p w14:paraId="1686D754" w14:textId="738C443E" w:rsidR="00720D3F" w:rsidRDefault="00720D3F" w:rsidP="00A40508">
      <w:pPr>
        <w:pStyle w:val="ListParagraph"/>
        <w:keepNext/>
        <w:numPr>
          <w:ilvl w:val="0"/>
          <w:numId w:val="16"/>
        </w:numPr>
        <w:ind w:left="1890"/>
      </w:pPr>
      <w:r>
        <w:t xml:space="preserve">The </w:t>
      </w:r>
      <w:r w:rsidRPr="004B60B0">
        <w:t>Project</w:t>
      </w:r>
      <w:r>
        <w:t xml:space="preserve"> is subject to compliance monitoring and enforcement by the Department of Indu</w:t>
      </w:r>
      <w:r w:rsidR="0093149F">
        <w:t>strial Relations. The selected Contractor</w:t>
      </w:r>
      <w:r w:rsidR="00663030">
        <w:t xml:space="preserve"> shall post job site notices, as prescribed </w:t>
      </w:r>
      <w:r w:rsidR="0093149F">
        <w:t>by regulation. The selected Contractor</w:t>
      </w:r>
      <w:r w:rsidR="00663030">
        <w:t xml:space="preserve"> shall comply with all requirements of Labor Code section 1771.4, except the requirements that are exempt by the Labor Commissioner for the Project. </w:t>
      </w:r>
    </w:p>
    <w:p w14:paraId="4DDB74E4" w14:textId="77777777" w:rsidR="002360F7" w:rsidRDefault="002360F7" w:rsidP="00837DE4">
      <w:pPr>
        <w:pStyle w:val="ListParagraph"/>
      </w:pPr>
    </w:p>
    <w:p w14:paraId="1DA271D3" w14:textId="34D88331" w:rsidR="005E2E71" w:rsidRDefault="002360F7" w:rsidP="00A40508">
      <w:pPr>
        <w:pStyle w:val="ListParagraph"/>
        <w:keepNext/>
        <w:numPr>
          <w:ilvl w:val="0"/>
          <w:numId w:val="16"/>
        </w:numPr>
        <w:ind w:left="1890"/>
      </w:pPr>
      <w:r>
        <w:t>Schedule of Work</w:t>
      </w:r>
      <w:r w:rsidR="00C87E15">
        <w:t xml:space="preserve">: </w:t>
      </w:r>
      <w:r w:rsidR="005E2E71">
        <w:t>To initiate performance for a Project the Court will issue a Work Order</w:t>
      </w:r>
      <w:r w:rsidR="002E3F50">
        <w:t xml:space="preserve"> </w:t>
      </w:r>
      <w:r w:rsidR="002E3F50" w:rsidRPr="00C31058">
        <w:t>(Attachment 14</w:t>
      </w:r>
      <w:r w:rsidR="004B52C4">
        <w:t>)</w:t>
      </w:r>
      <w:r w:rsidR="005E2E71">
        <w:t xml:space="preserve">. The form and format of the Work Order may vary. The Work Order will include, but is not limited to, a description of the Project, including the location and schedule. </w:t>
      </w:r>
      <w:r w:rsidR="004B52C4">
        <w:t xml:space="preserve">Court Projects will be requested on an as needed basis. </w:t>
      </w:r>
    </w:p>
    <w:p w14:paraId="648599CF" w14:textId="1D48A8A4" w:rsidR="002360F7" w:rsidRDefault="002360F7" w:rsidP="004B52C4"/>
    <w:p w14:paraId="06E01A67" w14:textId="7844595D" w:rsidR="002360F7" w:rsidRDefault="000D7C44" w:rsidP="00A40508">
      <w:pPr>
        <w:pStyle w:val="ListParagraph"/>
        <w:keepNext/>
        <w:numPr>
          <w:ilvl w:val="0"/>
          <w:numId w:val="16"/>
        </w:numPr>
        <w:ind w:left="1890"/>
      </w:pPr>
      <w:r>
        <w:t>Work Hours: Since the w</w:t>
      </w:r>
      <w:r w:rsidR="002360F7">
        <w:t>ork will be taking place in an occupied c</w:t>
      </w:r>
      <w:r w:rsidR="0093149F">
        <w:t>ourt facility, the selected Contractor</w:t>
      </w:r>
      <w:r w:rsidR="002360F7">
        <w:t xml:space="preserve"> </w:t>
      </w:r>
      <w:r>
        <w:t>will be required to coordinate w</w:t>
      </w:r>
      <w:r w:rsidR="002360F7">
        <w:t>ork in such a way as to not dis</w:t>
      </w:r>
      <w:r>
        <w:t>rupt court operations. Certain w</w:t>
      </w:r>
      <w:r w:rsidR="002360F7">
        <w:t>ork will be required to be completed after hours or on weekends. Standard business hours are Monday to Friday, 7</w:t>
      </w:r>
      <w:r>
        <w:t>:00am to 6:00pm. However, when w</w:t>
      </w:r>
      <w:r w:rsidR="002360F7">
        <w:t>ork will adversely affect Court procee</w:t>
      </w:r>
      <w:r>
        <w:t>dings, Court will require that w</w:t>
      </w:r>
      <w:r w:rsidR="002360F7">
        <w:t xml:space="preserve">ork be performed when Court is not in session. Work performed on weekends is expected to be completed between the hours of 7:00am and 6:00pm. The Project Manager will coordinate with </w:t>
      </w:r>
      <w:r w:rsidR="0093149F">
        <w:t>the selected Contractor</w:t>
      </w:r>
      <w:r w:rsidR="002360F7">
        <w:t xml:space="preserve"> to establish the hours of work o</w:t>
      </w:r>
      <w:r w:rsidR="0093149F">
        <w:t>n a week to week basis. The Contractor</w:t>
      </w:r>
      <w:r>
        <w:t xml:space="preserve">’s Cost Proposal shall include </w:t>
      </w:r>
      <w:r w:rsidR="002360F7">
        <w:t>all costs associated with limiting the work hours for the Project as set fort</w:t>
      </w:r>
      <w:r w:rsidR="0093149F">
        <w:t>h herein and the successful Contractor</w:t>
      </w:r>
      <w:r w:rsidR="002360F7">
        <w:t xml:space="preserve"> will not be entitled to any additional compensation for performing work on the weekends, holidays or after-hours on business days. </w:t>
      </w:r>
    </w:p>
    <w:p w14:paraId="62FBA9E2" w14:textId="77777777" w:rsidR="00495AD1" w:rsidRDefault="00495AD1" w:rsidP="00837DE4">
      <w:pPr>
        <w:pStyle w:val="ListParagraph"/>
      </w:pPr>
    </w:p>
    <w:p w14:paraId="682D06D8" w14:textId="18351E6B" w:rsidR="00495AD1" w:rsidRDefault="00495AD1" w:rsidP="00A40508">
      <w:pPr>
        <w:pStyle w:val="ListParagraph"/>
        <w:keepNext/>
        <w:numPr>
          <w:ilvl w:val="0"/>
          <w:numId w:val="16"/>
        </w:numPr>
        <w:ind w:left="1890"/>
      </w:pPr>
      <w:r>
        <w:t>Licen</w:t>
      </w:r>
      <w:r w:rsidR="0093149F">
        <w:t>se Requirements: Interested Contractor</w:t>
      </w:r>
      <w:r>
        <w:t xml:space="preserve">s must hold and maintain a valid </w:t>
      </w:r>
      <w:r w:rsidRPr="00837DE4">
        <w:rPr>
          <w:b/>
        </w:rPr>
        <w:t>Class Code C-33</w:t>
      </w:r>
      <w:r>
        <w:rPr>
          <w:b/>
        </w:rPr>
        <w:t xml:space="preserve"> painting and decorating contractor </w:t>
      </w:r>
      <w:r>
        <w:t xml:space="preserve">license from the </w:t>
      </w:r>
      <w:r w:rsidR="0093149F">
        <w:t>State of California. The Contractor</w:t>
      </w:r>
      <w:r>
        <w:t xml:space="preserve">’s license must remain active and in good standing throughout </w:t>
      </w:r>
      <w:r w:rsidR="0093149F">
        <w:t>the term of this Contract. The Contractor</w:t>
      </w:r>
      <w:r>
        <w:t xml:space="preserve"> shall notify the Court</w:t>
      </w:r>
      <w:r w:rsidR="002C16EA">
        <w:t xml:space="preserve"> in writing in the event the Contractor</w:t>
      </w:r>
      <w:r>
        <w:t xml:space="preserve">’s license expires, is suspended, or has a change in signatory. </w:t>
      </w:r>
    </w:p>
    <w:p w14:paraId="6E666EEF" w14:textId="77777777" w:rsidR="00F13C70" w:rsidRDefault="00F13C70" w:rsidP="00837DE4">
      <w:pPr>
        <w:pStyle w:val="ListParagraph"/>
      </w:pPr>
    </w:p>
    <w:p w14:paraId="51F53B5D" w14:textId="30C00B80" w:rsidR="00F13C70" w:rsidRDefault="00F13C70" w:rsidP="00837DE4">
      <w:pPr>
        <w:keepNext/>
      </w:pPr>
    </w:p>
    <w:p w14:paraId="5285E821" w14:textId="6C9F7CF8" w:rsidR="00F13C70" w:rsidRDefault="00F13C70" w:rsidP="00837DE4">
      <w:pPr>
        <w:keepNext/>
        <w:ind w:left="720"/>
      </w:pPr>
      <w:r>
        <w:t>3.3</w:t>
      </w:r>
      <w:r>
        <w:tab/>
        <w:t xml:space="preserve"> Examination of Contract Documents and Project Site: </w:t>
      </w:r>
    </w:p>
    <w:p w14:paraId="3D8A1CF9" w14:textId="77777777" w:rsidR="00C40313" w:rsidRDefault="00C40313" w:rsidP="00837DE4">
      <w:pPr>
        <w:keepNext/>
        <w:ind w:left="720"/>
      </w:pPr>
    </w:p>
    <w:p w14:paraId="055C7F61" w14:textId="5DDF16E9" w:rsidR="00F13C70" w:rsidRDefault="002C16EA" w:rsidP="00A40508">
      <w:pPr>
        <w:pStyle w:val="ListParagraph"/>
        <w:keepNext/>
        <w:numPr>
          <w:ilvl w:val="0"/>
          <w:numId w:val="18"/>
        </w:numPr>
        <w:ind w:left="1980"/>
      </w:pPr>
      <w:r>
        <w:t>Submission of Proposal by a Contractor</w:t>
      </w:r>
      <w:r w:rsidR="00F13C70">
        <w:t xml:space="preserve"> signifies careful examination of Contract Documents and complete understanding of the nature, extent, and location of work to be performed for the Project included in the Proposal. Submission of a </w:t>
      </w:r>
      <w:r>
        <w:t>Proposal shall constitute a Contractor</w:t>
      </w:r>
      <w:r w:rsidR="00F13C70">
        <w:t>’s express represent</w:t>
      </w:r>
      <w:r>
        <w:t>ation to the Court that the Contractor</w:t>
      </w:r>
      <w:r w:rsidR="00F13C70">
        <w:t xml:space="preserve"> has fully completed the following: </w:t>
      </w:r>
    </w:p>
    <w:p w14:paraId="64BDB6BA" w14:textId="77777777" w:rsidR="00C40313" w:rsidRDefault="00C40313" w:rsidP="0087062A">
      <w:pPr>
        <w:pStyle w:val="ListParagraph"/>
        <w:keepNext/>
        <w:ind w:left="2520"/>
      </w:pPr>
    </w:p>
    <w:p w14:paraId="0D72B706" w14:textId="11839BEA" w:rsidR="00F13C70" w:rsidRDefault="002C16EA" w:rsidP="00A40508">
      <w:pPr>
        <w:pStyle w:val="ListParagraph"/>
        <w:keepNext/>
        <w:numPr>
          <w:ilvl w:val="1"/>
          <w:numId w:val="18"/>
        </w:numPr>
        <w:ind w:left="2340"/>
      </w:pPr>
      <w:r>
        <w:t>Contractor</w:t>
      </w:r>
      <w:r w:rsidR="00F13C70">
        <w:t xml:space="preserve"> has visited the Project site for which they are submitting a Proposal and has examined thoroughly and understood the nature and extent of the Contract Documents, the applicable work for the Project, the Project site, locality, actual conditions, as-built conditions, and all local conditions and federal, state and local laws, and regulations that in any manner may affect cost, progress, performance, or furnishing of work or that relate to any aspect of the means, methods, techniques, sequences, or procedures of </w:t>
      </w:r>
      <w:r w:rsidR="007F02D8" w:rsidRPr="007F02D8">
        <w:t>construction</w:t>
      </w:r>
      <w:r w:rsidR="00F13C70">
        <w:t xml:space="preserve"> to be emplo</w:t>
      </w:r>
      <w:r>
        <w:t>yed by the Contractor</w:t>
      </w:r>
      <w:r w:rsidR="00F13C70">
        <w:t xml:space="preserve"> and safety precautions and programs incident hereto;</w:t>
      </w:r>
    </w:p>
    <w:p w14:paraId="28A9DD94" w14:textId="77777777" w:rsidR="00606E1C" w:rsidRDefault="00606E1C" w:rsidP="00C40313">
      <w:pPr>
        <w:pStyle w:val="ListParagraph"/>
        <w:keepNext/>
        <w:ind w:left="3240"/>
      </w:pPr>
    </w:p>
    <w:p w14:paraId="56BD4707" w14:textId="1C4382CC" w:rsidR="00F13C70" w:rsidRDefault="002C16EA" w:rsidP="00A40508">
      <w:pPr>
        <w:pStyle w:val="ListParagraph"/>
        <w:keepNext/>
        <w:numPr>
          <w:ilvl w:val="1"/>
          <w:numId w:val="18"/>
        </w:numPr>
        <w:ind w:left="2340"/>
      </w:pPr>
      <w:r>
        <w:t>Contractor</w:t>
      </w:r>
      <w:r w:rsidR="00A70776">
        <w:t xml:space="preserve"> has reviewed and has understood all examinations, investigations, explorations, tests, reports, and studies that pertain to the Project and as built-conditions, underground facilities, and all other physical conditions at or contiguous to the applicable Project site or otherwise that may affect the cost, progress, performance, or furnishing of work for</w:t>
      </w:r>
      <w:r>
        <w:t xml:space="preserve"> the applicable Project, as Contractor</w:t>
      </w:r>
      <w:r w:rsidR="00A70776">
        <w:t xml:space="preserve"> considers necessary for the performance or furnishing of work for the Project at the amount set forth in the Cost Proposal, within the Contract Time, and in accordance with the other terms and conditions of Contract Documents; and no additional examinations, investigations, explorations, tests, reports, studies, or similar information or data</w:t>
      </w:r>
      <w:r>
        <w:t xml:space="preserve"> are or will be required by Contractor</w:t>
      </w:r>
      <w:r w:rsidR="00A70776">
        <w:t xml:space="preserve"> for such purposes;</w:t>
      </w:r>
    </w:p>
    <w:p w14:paraId="2C7E9EE6" w14:textId="77777777" w:rsidR="00606E1C" w:rsidRDefault="00606E1C" w:rsidP="007F02D8">
      <w:pPr>
        <w:keepNext/>
      </w:pPr>
    </w:p>
    <w:p w14:paraId="4004E6FF" w14:textId="7B29D4D9" w:rsidR="00A70776" w:rsidRDefault="002C16EA" w:rsidP="00A40508">
      <w:pPr>
        <w:pStyle w:val="ListParagraph"/>
        <w:keepNext/>
        <w:numPr>
          <w:ilvl w:val="1"/>
          <w:numId w:val="18"/>
        </w:numPr>
        <w:ind w:left="2340"/>
      </w:pPr>
      <w:r>
        <w:t>Contractor</w:t>
      </w:r>
      <w:r w:rsidR="00A70776">
        <w:t xml:space="preserve"> has correlated its knowledge and the results of all such observations, examinations, investigations, explorations, tests, reports, and studies with the terms and conditions of the Contract Documents;</w:t>
      </w:r>
    </w:p>
    <w:p w14:paraId="2A1A9070" w14:textId="77777777" w:rsidR="00606E1C" w:rsidRDefault="00606E1C" w:rsidP="00C40313">
      <w:pPr>
        <w:pStyle w:val="ListParagraph"/>
        <w:keepNext/>
        <w:ind w:left="3240"/>
      </w:pPr>
    </w:p>
    <w:p w14:paraId="6F39C5AB" w14:textId="18009B53" w:rsidR="00A70776" w:rsidRDefault="002C16EA" w:rsidP="00A40508">
      <w:pPr>
        <w:pStyle w:val="ListParagraph"/>
        <w:keepNext/>
        <w:numPr>
          <w:ilvl w:val="1"/>
          <w:numId w:val="18"/>
        </w:numPr>
        <w:ind w:left="2340"/>
      </w:pPr>
      <w:r>
        <w:t>C</w:t>
      </w:r>
      <w:r w:rsidR="00A85656">
        <w:t>ontr</w:t>
      </w:r>
      <w:r>
        <w:t>actor</w:t>
      </w:r>
      <w:r w:rsidR="00A70776">
        <w:t xml:space="preserve"> has given the Court prompt written notice of all conflicts, errors, ambiguities, or discrepancies that it has discovered in or among the Contract Documents and actual conditions, and the written resolution thereof by</w:t>
      </w:r>
      <w:r>
        <w:t xml:space="preserve"> the Court is acceptable to Contractor</w:t>
      </w:r>
      <w:r w:rsidR="00A70776">
        <w:t>;</w:t>
      </w:r>
    </w:p>
    <w:p w14:paraId="1452D4F1" w14:textId="77777777" w:rsidR="00606E1C" w:rsidRDefault="00606E1C" w:rsidP="00C40313">
      <w:pPr>
        <w:pStyle w:val="ListParagraph"/>
      </w:pPr>
    </w:p>
    <w:p w14:paraId="598CC04B" w14:textId="77777777" w:rsidR="00606E1C" w:rsidRDefault="00606E1C" w:rsidP="00C40313">
      <w:pPr>
        <w:pStyle w:val="ListParagraph"/>
        <w:keepNext/>
        <w:ind w:left="3240"/>
      </w:pPr>
    </w:p>
    <w:p w14:paraId="02AF081B" w14:textId="2C6AC968" w:rsidR="00A70776" w:rsidRDefault="00A70776" w:rsidP="00A40508">
      <w:pPr>
        <w:pStyle w:val="ListParagraph"/>
        <w:keepNext/>
        <w:numPr>
          <w:ilvl w:val="0"/>
          <w:numId w:val="18"/>
        </w:numPr>
        <w:ind w:left="1980"/>
      </w:pPr>
      <w:r>
        <w:t>Conditions Shown on the Contract Documents: Information regarding as-built conditions, or other conditions or obstructions, indicated in the Contract Documents (e.g. the plans and specificati</w:t>
      </w:r>
      <w:r w:rsidR="00FC736E">
        <w:t xml:space="preserve">ons for a Project), has been obtained with reasonable care, and has been recorded </w:t>
      </w:r>
      <w:r w:rsidR="002C16EA">
        <w:t>in good faith. However, the Contractor</w:t>
      </w:r>
      <w:r w:rsidR="00FC736E">
        <w:t xml:space="preserve"> may only rely on the accuracy of limited types of information as follows: </w:t>
      </w:r>
    </w:p>
    <w:p w14:paraId="4E5722F4" w14:textId="77777777" w:rsidR="00606E1C" w:rsidRDefault="00606E1C" w:rsidP="00C40313">
      <w:pPr>
        <w:pStyle w:val="ListParagraph"/>
        <w:keepNext/>
        <w:ind w:left="2520"/>
      </w:pPr>
    </w:p>
    <w:p w14:paraId="669A3685" w14:textId="2F40C1A5" w:rsidR="00FC736E" w:rsidRDefault="00FA4CE7" w:rsidP="00A40508">
      <w:pPr>
        <w:pStyle w:val="ListParagraph"/>
        <w:keepNext/>
        <w:numPr>
          <w:ilvl w:val="1"/>
          <w:numId w:val="18"/>
        </w:numPr>
        <w:ind w:left="2340"/>
      </w:pPr>
      <w:r>
        <w:t>As to the above</w:t>
      </w:r>
      <w:r w:rsidR="00FC736E">
        <w:t>ground conditions or as-built conditions shown or indicated in the Contract Documents, there is no warranty, express or implied, or any representation express or implied, that such information is correctly shown or indicated. This information is verifiable by indepe</w:t>
      </w:r>
      <w:r w:rsidR="002C16EA">
        <w:t>ndent investigation and the Contractor</w:t>
      </w:r>
      <w:r w:rsidR="00FC736E">
        <w:t xml:space="preserve"> is required to make such verification as a condition to bidding. </w:t>
      </w:r>
      <w:r w:rsidR="002C16EA">
        <w:t>In submitting its Proposal, Contractor</w:t>
      </w:r>
      <w:r w:rsidR="00FC736E">
        <w:t xml:space="preserve"> shall rely on the results of its own independent in</w:t>
      </w:r>
      <w:r w:rsidR="00A85656">
        <w:t xml:space="preserve">vestigation. </w:t>
      </w:r>
      <w:r>
        <w:t>In submitting its Proposal</w:t>
      </w:r>
      <w:r w:rsidR="002C16EA">
        <w:t>, Contractor</w:t>
      </w:r>
      <w:r>
        <w:t xml:space="preserve"> shall not rely on Court supplied information regarding aboveground conditions or as-built conditions. </w:t>
      </w:r>
    </w:p>
    <w:p w14:paraId="4609FC29" w14:textId="77777777" w:rsidR="00606E1C" w:rsidRDefault="00606E1C" w:rsidP="00C40313">
      <w:pPr>
        <w:pStyle w:val="ListParagraph"/>
        <w:keepNext/>
        <w:ind w:left="3240"/>
      </w:pPr>
    </w:p>
    <w:p w14:paraId="0B6101C9" w14:textId="58CEF658" w:rsidR="00FA4CE7" w:rsidRDefault="002C16EA" w:rsidP="00A40508">
      <w:pPr>
        <w:pStyle w:val="ListParagraph"/>
        <w:keepNext/>
        <w:numPr>
          <w:ilvl w:val="1"/>
          <w:numId w:val="18"/>
        </w:numPr>
        <w:ind w:left="2340"/>
      </w:pPr>
      <w:r>
        <w:t>Contractor</w:t>
      </w:r>
      <w:r w:rsidR="00FA4CE7">
        <w:t xml:space="preserve"> may examine</w:t>
      </w:r>
      <w:r w:rsidR="00D06F21">
        <w:t xml:space="preserve"> any available “as-built” drawings of previous work by giving Court reasonable advance notice. Court will not be responsible for “as-built” drawings.</w:t>
      </w:r>
    </w:p>
    <w:p w14:paraId="7DCE9D94" w14:textId="77777777" w:rsidR="00606E1C" w:rsidRDefault="00606E1C" w:rsidP="00C40313">
      <w:pPr>
        <w:pStyle w:val="ListParagraph"/>
      </w:pPr>
    </w:p>
    <w:p w14:paraId="0712A903" w14:textId="77777777" w:rsidR="00606E1C" w:rsidRDefault="00606E1C" w:rsidP="00C40313">
      <w:pPr>
        <w:pStyle w:val="ListParagraph"/>
        <w:keepNext/>
        <w:ind w:left="3240"/>
      </w:pPr>
    </w:p>
    <w:p w14:paraId="3240D015" w14:textId="1F255E63" w:rsidR="00D06F21" w:rsidRDefault="002C16EA" w:rsidP="00A40508">
      <w:pPr>
        <w:pStyle w:val="ListParagraph"/>
        <w:keepNext/>
        <w:numPr>
          <w:ilvl w:val="0"/>
          <w:numId w:val="18"/>
        </w:numPr>
        <w:ind w:left="1980"/>
      </w:pPr>
      <w:r>
        <w:t>Bonds: The successful Contractor</w:t>
      </w:r>
      <w:r w:rsidR="00D06F21">
        <w:t xml:space="preserve"> for each project will be required to furnish a Performance Bond and a Payment Bond both in the amount equal to 100% of the value of the contract for the applicable project. </w:t>
      </w:r>
    </w:p>
    <w:p w14:paraId="3F115CAA" w14:textId="77777777" w:rsidR="00606E1C" w:rsidRDefault="00606E1C" w:rsidP="00C40313">
      <w:pPr>
        <w:pStyle w:val="ListParagraph"/>
        <w:keepNext/>
        <w:ind w:left="2520"/>
      </w:pPr>
    </w:p>
    <w:p w14:paraId="13112E20" w14:textId="71F0871E" w:rsidR="00606E1C" w:rsidRDefault="002C16EA" w:rsidP="00A40508">
      <w:pPr>
        <w:pStyle w:val="ListParagraph"/>
        <w:keepNext/>
        <w:numPr>
          <w:ilvl w:val="0"/>
          <w:numId w:val="18"/>
        </w:numPr>
        <w:ind w:left="1980"/>
      </w:pPr>
      <w:r>
        <w:t>Insurance: The successful Contractor</w:t>
      </w:r>
      <w:r w:rsidR="00D06F21">
        <w:t xml:space="preserve"> for each Project will be required to provide proof of insurance coverage for Commercial General Liability, Workers Compensation and Employer’s Liability</w:t>
      </w:r>
      <w:r w:rsidR="002C4C95">
        <w:t>, and Automobile Liability pursuant to the insurance provisi</w:t>
      </w:r>
      <w:r w:rsidR="001001B2">
        <w:t>ons set forth in the Standard</w:t>
      </w:r>
      <w:r w:rsidR="000D7C44">
        <w:t xml:space="preserve"> Terms and Conditions (Attachment 2),</w:t>
      </w:r>
      <w:r w:rsidR="004B52C4">
        <w:t xml:space="preserve"> Section 3.1: Insurance, Basic coverage</w:t>
      </w:r>
      <w:r w:rsidR="002C4C95">
        <w:t xml:space="preserve">. Policy limits and insurance requirements are specified in the Agreement. </w:t>
      </w:r>
    </w:p>
    <w:p w14:paraId="7714EDC5" w14:textId="77777777" w:rsidR="00606E1C" w:rsidRDefault="00606E1C" w:rsidP="00C40313">
      <w:pPr>
        <w:pStyle w:val="ListParagraph"/>
        <w:keepNext/>
        <w:ind w:left="2520"/>
      </w:pPr>
    </w:p>
    <w:p w14:paraId="6039B47F" w14:textId="6B056D52" w:rsidR="002C4C95" w:rsidRDefault="002C4C95" w:rsidP="00A40508">
      <w:pPr>
        <w:pStyle w:val="ListParagraph"/>
        <w:keepNext/>
        <w:numPr>
          <w:ilvl w:val="0"/>
          <w:numId w:val="18"/>
        </w:numPr>
        <w:ind w:left="1980"/>
      </w:pPr>
      <w:r>
        <w:t>Backgr</w:t>
      </w:r>
      <w:r w:rsidR="002C16EA">
        <w:t>ound Checks. The successful Contractor</w:t>
      </w:r>
      <w:r>
        <w:t xml:space="preserve"> will be required to comply with the Backgrou</w:t>
      </w:r>
      <w:r w:rsidR="001F66A6">
        <w:t>nd Check p</w:t>
      </w:r>
      <w:r w:rsidR="000D7C44">
        <w:t>rovision set forth in</w:t>
      </w:r>
      <w:r w:rsidR="001F66A6">
        <w:t xml:space="preserve"> Section 1.3 </w:t>
      </w:r>
      <w:r w:rsidR="001001B2">
        <w:t>of the Standard</w:t>
      </w:r>
      <w:r w:rsidR="000D7C44">
        <w:t xml:space="preserve"> Terms and Conditions (Attachment 2)</w:t>
      </w:r>
      <w:r>
        <w:t>. All costs associated with escorting an unscreened employee (i.e. any employee who is not an Approved Person pursuant to the Background Check provision of the Agreement) shall be included in the Co</w:t>
      </w:r>
      <w:r w:rsidR="002C16EA">
        <w:t>st Proposal. The successful Contractor</w:t>
      </w:r>
      <w:r>
        <w:t xml:space="preserve"> will not receive additional compensation or reimbursement form the Court for any costs related to escorting. The Court will pay for the cost of the background check (e.g. Live Sca</w:t>
      </w:r>
      <w:r w:rsidR="002C16EA">
        <w:t>n), however, the successful Contractor</w:t>
      </w:r>
      <w:r>
        <w:t xml:space="preserve"> will be responsible for employee time, fingerprinting fees, local administrative or processing fees, or other costs. </w:t>
      </w:r>
    </w:p>
    <w:p w14:paraId="2D5D8508" w14:textId="77777777" w:rsidR="007F02D8" w:rsidRDefault="007F02D8" w:rsidP="00161C8D">
      <w:pPr>
        <w:pStyle w:val="ListParagraph"/>
        <w:keepNext/>
        <w:ind w:left="2520"/>
      </w:pPr>
    </w:p>
    <w:p w14:paraId="168EDB43" w14:textId="3908C6D8" w:rsidR="00606E1C" w:rsidRDefault="00626BA5" w:rsidP="00A40508">
      <w:pPr>
        <w:pStyle w:val="ListParagraph"/>
        <w:keepNext/>
        <w:numPr>
          <w:ilvl w:val="0"/>
          <w:numId w:val="18"/>
        </w:numPr>
        <w:ind w:left="1980"/>
      </w:pPr>
      <w:r>
        <w:t xml:space="preserve">Substitution of Specified Items: </w:t>
      </w:r>
    </w:p>
    <w:p w14:paraId="20C1276F" w14:textId="77777777" w:rsidR="00606E1C" w:rsidRDefault="00606E1C" w:rsidP="00C40313">
      <w:pPr>
        <w:pStyle w:val="ListParagraph"/>
        <w:keepNext/>
        <w:ind w:left="2520"/>
      </w:pPr>
    </w:p>
    <w:p w14:paraId="6884377C" w14:textId="0E08BF19" w:rsidR="00626BA5" w:rsidRDefault="00626BA5" w:rsidP="00A40508">
      <w:pPr>
        <w:pStyle w:val="ListParagraph"/>
        <w:keepNext/>
        <w:numPr>
          <w:ilvl w:val="1"/>
          <w:numId w:val="18"/>
        </w:numPr>
        <w:ind w:left="2340"/>
      </w:pPr>
      <w:r>
        <w:t>Whenever in the Contract Documents any materials, process, or article is indicated or specified by grade, patent, or proprietary name, or by name manufacturer, those references shall be deemed to be used for the purpose of facilitating the description of that material, process, or article desired, and shall be deemed to be followed by the words “or equal,” except when the product is designated to match others in use on a particular public improvement whether completed or in the course of completion.</w:t>
      </w:r>
    </w:p>
    <w:p w14:paraId="0097DC28" w14:textId="77777777" w:rsidR="00606E1C" w:rsidRDefault="00606E1C" w:rsidP="00C40313">
      <w:pPr>
        <w:pStyle w:val="ListParagraph"/>
        <w:keepNext/>
        <w:ind w:left="3240"/>
      </w:pPr>
    </w:p>
    <w:p w14:paraId="65B89BAA" w14:textId="074B509F" w:rsidR="00626BA5" w:rsidRDefault="00626BA5" w:rsidP="00A40508">
      <w:pPr>
        <w:pStyle w:val="ListParagraph"/>
        <w:keepNext/>
        <w:numPr>
          <w:ilvl w:val="1"/>
          <w:numId w:val="18"/>
        </w:numPr>
        <w:ind w:left="2340"/>
      </w:pPr>
      <w:r>
        <w:t xml:space="preserve">The Agreement sets forth the process of requesting substitutions of specified items. </w:t>
      </w:r>
    </w:p>
    <w:p w14:paraId="5DA343F0" w14:textId="77777777" w:rsidR="00606E1C" w:rsidRDefault="00606E1C" w:rsidP="00C40313">
      <w:pPr>
        <w:pStyle w:val="ListParagraph"/>
      </w:pPr>
    </w:p>
    <w:p w14:paraId="6F609A3B" w14:textId="77777777" w:rsidR="00606E1C" w:rsidRDefault="00606E1C" w:rsidP="00C40313">
      <w:pPr>
        <w:pStyle w:val="ListParagraph"/>
        <w:keepNext/>
        <w:ind w:left="3240"/>
      </w:pPr>
    </w:p>
    <w:p w14:paraId="644941C7" w14:textId="5A7162D9" w:rsidR="000E1E6A" w:rsidRDefault="000E1E6A" w:rsidP="00A40508">
      <w:pPr>
        <w:pStyle w:val="ListParagraph"/>
        <w:keepNext/>
        <w:numPr>
          <w:ilvl w:val="0"/>
          <w:numId w:val="18"/>
        </w:numPr>
        <w:ind w:left="1980"/>
      </w:pPr>
      <w:r>
        <w:t xml:space="preserve">Warranty: In addition to any warranties provided by a manufacturer of any material or good supplied in furtherance of the Project, Contractor guarantees and warrants all labor and material used in performance of this Contract for a period of “” from the date of Court’s recordation of a Notice of Completion for the Project, and at the Court’s sole option, Contractor shall either repair or replace any and all of that work that may be defective in workmanship and/or materials, without expense whatsoever to the Court, together with any of the work, that may be displaced in so doing. In the event of failure of Contractor to commence and pursue with diligence said replacements or repairs within 10 days after being notified in writing, Contractor hereby acknowledges and agrees that the Court is authorized to proceed to have the work replaced or repaired and made good at expense of Contractor who hereby agrees to reimburse the Court for any costs incurred by the Court with respect to repairing or replacing the work. </w:t>
      </w:r>
    </w:p>
    <w:p w14:paraId="4AEA1598" w14:textId="77777777" w:rsidR="000E1E6A" w:rsidRDefault="000E1E6A" w:rsidP="00C40313">
      <w:pPr>
        <w:pStyle w:val="ListParagraph"/>
        <w:keepNext/>
        <w:ind w:left="2520"/>
      </w:pPr>
    </w:p>
    <w:p w14:paraId="13848F3A" w14:textId="77777777" w:rsidR="0071453E" w:rsidRDefault="0071453E" w:rsidP="00837DE4">
      <w:pPr>
        <w:keepNext/>
      </w:pPr>
    </w:p>
    <w:p w14:paraId="13DD3B93" w14:textId="50D215ED" w:rsidR="00381806" w:rsidRDefault="00381806" w:rsidP="00381806">
      <w:pPr>
        <w:keepNext/>
        <w:ind w:left="1440" w:hanging="720"/>
      </w:pPr>
    </w:p>
    <w:p w14:paraId="269FFA4B" w14:textId="43E8122A" w:rsidR="00381806" w:rsidRDefault="00381806" w:rsidP="00381806">
      <w:pPr>
        <w:keepNext/>
        <w:ind w:left="1440" w:hanging="720"/>
      </w:pPr>
    </w:p>
    <w:p w14:paraId="390DA5CE" w14:textId="5B9EB3CA" w:rsidR="003070CF" w:rsidRDefault="003070CF" w:rsidP="00381806">
      <w:pPr>
        <w:keepNext/>
        <w:ind w:left="1440" w:hanging="720"/>
      </w:pPr>
    </w:p>
    <w:p w14:paraId="7264320F" w14:textId="08E155F3" w:rsidR="003070CF" w:rsidRDefault="003070CF" w:rsidP="00381806">
      <w:pPr>
        <w:keepNext/>
        <w:ind w:left="1440" w:hanging="720"/>
      </w:pPr>
    </w:p>
    <w:p w14:paraId="47AAFF5A" w14:textId="061302C1" w:rsidR="003070CF" w:rsidRDefault="003070CF" w:rsidP="00381806">
      <w:pPr>
        <w:keepNext/>
        <w:ind w:left="1440" w:hanging="720"/>
      </w:pPr>
    </w:p>
    <w:p w14:paraId="225D5E89" w14:textId="73007EFD" w:rsidR="003070CF" w:rsidRDefault="003070CF" w:rsidP="00381806">
      <w:pPr>
        <w:keepNext/>
        <w:ind w:left="1440" w:hanging="720"/>
      </w:pPr>
    </w:p>
    <w:p w14:paraId="7514AC37" w14:textId="351FA102" w:rsidR="003070CF" w:rsidRDefault="003070CF" w:rsidP="00381806">
      <w:pPr>
        <w:keepNext/>
        <w:ind w:left="1440" w:hanging="720"/>
      </w:pPr>
    </w:p>
    <w:p w14:paraId="19709A47" w14:textId="0FDB5363" w:rsidR="003070CF" w:rsidRDefault="003070CF" w:rsidP="00381806">
      <w:pPr>
        <w:keepNext/>
        <w:ind w:left="1440" w:hanging="720"/>
      </w:pPr>
    </w:p>
    <w:p w14:paraId="6C1ABC47" w14:textId="22EDDD4A" w:rsidR="003070CF" w:rsidRDefault="003070CF" w:rsidP="00381806">
      <w:pPr>
        <w:keepNext/>
        <w:ind w:left="1440" w:hanging="720"/>
      </w:pPr>
    </w:p>
    <w:p w14:paraId="1A4F1A54" w14:textId="67B1D610" w:rsidR="00B6503C" w:rsidRDefault="00B6503C" w:rsidP="00381806">
      <w:pPr>
        <w:keepNext/>
        <w:ind w:left="1440" w:hanging="720"/>
      </w:pPr>
    </w:p>
    <w:p w14:paraId="2C6E23F1" w14:textId="77777777" w:rsidR="00B6503C" w:rsidRPr="00837DE4" w:rsidRDefault="00B6503C" w:rsidP="00381806">
      <w:pPr>
        <w:keepNext/>
        <w:ind w:left="1440" w:hanging="720"/>
      </w:pPr>
    </w:p>
    <w:p w14:paraId="751AE99D" w14:textId="77777777" w:rsidR="00C37FF7" w:rsidRDefault="00C37FF7" w:rsidP="00C37FF7">
      <w:pPr>
        <w:ind w:left="720"/>
      </w:pPr>
    </w:p>
    <w:p w14:paraId="2481178F" w14:textId="63094B3A" w:rsidR="00A50B42" w:rsidRPr="00D74462" w:rsidRDefault="000242BB" w:rsidP="00AB2FC2">
      <w:pPr>
        <w:widowControl w:val="0"/>
        <w:rPr>
          <w:b/>
          <w:bCs/>
        </w:rPr>
      </w:pPr>
      <w:r>
        <w:rPr>
          <w:b/>
          <w:bCs/>
        </w:rPr>
        <w:t>4</w:t>
      </w:r>
      <w:r w:rsidR="00AB2FC2">
        <w:rPr>
          <w:b/>
          <w:bCs/>
        </w:rPr>
        <w:t>.0</w:t>
      </w:r>
      <w:r w:rsidR="00AB2FC2">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5C85A1C0" w:rsidR="00A50B42" w:rsidRDefault="00A50B42" w:rsidP="00AB2FC2">
      <w:pPr>
        <w:widowControl w:val="0"/>
        <w:ind w:left="720"/>
        <w:rPr>
          <w:bCs/>
        </w:rPr>
      </w:pPr>
      <w:r w:rsidRPr="00D74462">
        <w:rPr>
          <w:bCs/>
        </w:rPr>
        <w:t xml:space="preserve">The </w:t>
      </w:r>
      <w:r w:rsidR="0050172F">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50172F">
        <w:rPr>
          <w:bCs/>
        </w:rPr>
        <w:t>Court</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DDFAF0E" w:rsidR="00A50B42" w:rsidRPr="00A00C4E" w:rsidRDefault="00A50B42" w:rsidP="003E4B31">
            <w:pPr>
              <w:widowControl w:val="0"/>
              <w:rPr>
                <w:b/>
                <w:bCs/>
              </w:rPr>
            </w:pPr>
            <w:r w:rsidRPr="00A00C4E">
              <w:rPr>
                <w:bCs/>
              </w:rPr>
              <w:t>RFP issued</w:t>
            </w:r>
            <w:r w:rsidR="005F4CC3">
              <w:rPr>
                <w:bCs/>
              </w:rPr>
              <w:t xml:space="preserve"> </w:t>
            </w:r>
            <w:r w:rsidR="005F4CC3" w:rsidRPr="00837DE4">
              <w:rPr>
                <w:bCs/>
                <w:i/>
              </w:rPr>
              <w:t>(estimate only)</w:t>
            </w:r>
            <w:r w:rsidRPr="00A00C4E">
              <w:rPr>
                <w:b/>
                <w:bCs/>
                <w:vanish/>
                <w:color w:val="0000FF"/>
              </w:rPr>
              <w:t>:</w:t>
            </w:r>
          </w:p>
        </w:tc>
        <w:tc>
          <w:tcPr>
            <w:tcW w:w="3192" w:type="dxa"/>
            <w:vAlign w:val="center"/>
          </w:tcPr>
          <w:p w14:paraId="4C38990C" w14:textId="1D8852C7" w:rsidR="00A50B42" w:rsidRPr="00837DE4" w:rsidRDefault="00261E32" w:rsidP="003E4B31">
            <w:pPr>
              <w:widowControl w:val="0"/>
              <w:tabs>
                <w:tab w:val="left" w:pos="2178"/>
              </w:tabs>
              <w:jc w:val="center"/>
              <w:rPr>
                <w:bCs/>
                <w:color w:val="FF0000"/>
              </w:rPr>
            </w:pPr>
            <w:r>
              <w:rPr>
                <w:bCs/>
              </w:rPr>
              <w:t>May 5</w:t>
            </w:r>
            <w:r w:rsidR="005F4CC3" w:rsidRPr="007F02D8">
              <w:rPr>
                <w:bCs/>
              </w:rPr>
              <w:t>, 2020</w:t>
            </w:r>
          </w:p>
        </w:tc>
      </w:tr>
      <w:tr w:rsidR="00C00178" w:rsidRPr="003B7ABC" w14:paraId="65FF2402" w14:textId="77777777" w:rsidTr="003E4B31">
        <w:trPr>
          <w:trHeight w:val="668"/>
          <w:jc w:val="center"/>
        </w:trPr>
        <w:tc>
          <w:tcPr>
            <w:tcW w:w="4986" w:type="dxa"/>
            <w:vAlign w:val="center"/>
          </w:tcPr>
          <w:p w14:paraId="3311E28C" w14:textId="3633321D" w:rsidR="00C00178" w:rsidRPr="00E8029D" w:rsidRDefault="00C00178" w:rsidP="003E4B31">
            <w:pPr>
              <w:widowControl w:val="0"/>
              <w:rPr>
                <w:bCs/>
                <w:color w:val="FF0000"/>
              </w:rPr>
            </w:pPr>
            <w:r w:rsidRPr="00A00C4E">
              <w:rPr>
                <w:color w:val="000000"/>
              </w:rPr>
              <w:t xml:space="preserve">Pre-proposal </w:t>
            </w:r>
            <w:r w:rsidR="005F4CC3">
              <w:rPr>
                <w:color w:val="000000"/>
              </w:rPr>
              <w:t xml:space="preserve">Site Visit </w:t>
            </w:r>
            <w:r w:rsidR="005F4CC3" w:rsidRPr="008E0FFA">
              <w:rPr>
                <w:bCs/>
                <w:i/>
              </w:rPr>
              <w:t>(estimate only)</w:t>
            </w:r>
            <w:r w:rsidR="00E8029D">
              <w:rPr>
                <w:bCs/>
                <w:i/>
              </w:rPr>
              <w:t xml:space="preserve"> – </w:t>
            </w:r>
            <w:r w:rsidR="00E8029D">
              <w:rPr>
                <w:bCs/>
                <w:i/>
                <w:color w:val="FF0000"/>
              </w:rPr>
              <w:t>Date subject to change depending on State and Local health directives.</w:t>
            </w:r>
          </w:p>
        </w:tc>
        <w:tc>
          <w:tcPr>
            <w:tcW w:w="3192" w:type="dxa"/>
            <w:vAlign w:val="center"/>
          </w:tcPr>
          <w:p w14:paraId="14026E81" w14:textId="77777777" w:rsidR="005F4CC3" w:rsidRDefault="005F4CC3" w:rsidP="003E4B31">
            <w:pPr>
              <w:widowControl w:val="0"/>
              <w:tabs>
                <w:tab w:val="left" w:pos="2178"/>
              </w:tabs>
              <w:jc w:val="center"/>
              <w:rPr>
                <w:bCs/>
                <w:color w:val="FF0000"/>
              </w:rPr>
            </w:pPr>
          </w:p>
          <w:p w14:paraId="5AE76E5A" w14:textId="4BF6D453" w:rsidR="005F4CC3" w:rsidRDefault="00F766F6" w:rsidP="005F4CC3">
            <w:pPr>
              <w:widowControl w:val="0"/>
              <w:tabs>
                <w:tab w:val="left" w:pos="2178"/>
              </w:tabs>
              <w:jc w:val="center"/>
              <w:rPr>
                <w:bCs/>
                <w:color w:val="000000"/>
              </w:rPr>
            </w:pPr>
            <w:r>
              <w:rPr>
                <w:bCs/>
                <w:color w:val="000000"/>
              </w:rPr>
              <w:t>May 1</w:t>
            </w:r>
            <w:r w:rsidR="000A3451">
              <w:rPr>
                <w:bCs/>
                <w:color w:val="000000"/>
              </w:rPr>
              <w:t>3</w:t>
            </w:r>
            <w:r w:rsidR="00043262">
              <w:rPr>
                <w:bCs/>
                <w:color w:val="000000"/>
              </w:rPr>
              <w:t>, 2020 – Day 1 Site Visits</w:t>
            </w:r>
          </w:p>
          <w:p w14:paraId="59C641CD" w14:textId="2A691C99" w:rsidR="00043262" w:rsidRDefault="00043262" w:rsidP="005F4CC3">
            <w:pPr>
              <w:widowControl w:val="0"/>
              <w:tabs>
                <w:tab w:val="left" w:pos="2178"/>
              </w:tabs>
              <w:jc w:val="center"/>
              <w:rPr>
                <w:bCs/>
                <w:color w:val="000000"/>
              </w:rPr>
            </w:pPr>
          </w:p>
          <w:p w14:paraId="1D7AD66D" w14:textId="715A24D4" w:rsidR="00043262" w:rsidRDefault="000A3451" w:rsidP="00043262">
            <w:pPr>
              <w:widowControl w:val="0"/>
              <w:tabs>
                <w:tab w:val="left" w:pos="2178"/>
              </w:tabs>
              <w:jc w:val="center"/>
              <w:rPr>
                <w:bCs/>
                <w:color w:val="000000"/>
              </w:rPr>
            </w:pPr>
            <w:r>
              <w:rPr>
                <w:bCs/>
                <w:color w:val="000000"/>
              </w:rPr>
              <w:t>May 14</w:t>
            </w:r>
            <w:r w:rsidR="00043262">
              <w:rPr>
                <w:bCs/>
                <w:color w:val="000000"/>
              </w:rPr>
              <w:t>, 2020 – Day 2 Site Visits</w:t>
            </w:r>
          </w:p>
          <w:p w14:paraId="2A43BA93" w14:textId="16E1EDE2" w:rsidR="000A3451" w:rsidRDefault="000A3451" w:rsidP="00043262">
            <w:pPr>
              <w:widowControl w:val="0"/>
              <w:tabs>
                <w:tab w:val="left" w:pos="2178"/>
              </w:tabs>
              <w:jc w:val="center"/>
              <w:rPr>
                <w:bCs/>
                <w:color w:val="000000"/>
              </w:rPr>
            </w:pPr>
          </w:p>
          <w:p w14:paraId="746FC240" w14:textId="01BDC0C5" w:rsidR="000A3451" w:rsidRDefault="000A3451" w:rsidP="000A3451">
            <w:pPr>
              <w:widowControl w:val="0"/>
              <w:tabs>
                <w:tab w:val="left" w:pos="2178"/>
              </w:tabs>
              <w:jc w:val="center"/>
              <w:rPr>
                <w:bCs/>
                <w:i/>
                <w:color w:val="000000"/>
              </w:rPr>
            </w:pPr>
            <w:r w:rsidRPr="000A3451">
              <w:rPr>
                <w:bCs/>
                <w:i/>
                <w:color w:val="000000"/>
              </w:rPr>
              <w:t>[Amended]</w:t>
            </w:r>
          </w:p>
          <w:p w14:paraId="6798F2E6" w14:textId="131B8029" w:rsidR="000A3451" w:rsidRDefault="0003447B" w:rsidP="000A3451">
            <w:pPr>
              <w:widowControl w:val="0"/>
              <w:tabs>
                <w:tab w:val="left" w:pos="2178"/>
              </w:tabs>
              <w:jc w:val="center"/>
              <w:rPr>
                <w:bCs/>
                <w:color w:val="000000"/>
              </w:rPr>
            </w:pPr>
            <w:r>
              <w:rPr>
                <w:bCs/>
                <w:color w:val="000000"/>
              </w:rPr>
              <w:t>Makeup date: May 21</w:t>
            </w:r>
            <w:r w:rsidR="000A3451">
              <w:rPr>
                <w:bCs/>
                <w:color w:val="000000"/>
              </w:rPr>
              <w:t>, 2020 – Day 1 Site Visits</w:t>
            </w:r>
          </w:p>
          <w:p w14:paraId="6DE47B81" w14:textId="3E5980B7" w:rsidR="000A3451" w:rsidRDefault="000A3451" w:rsidP="000A3451">
            <w:pPr>
              <w:widowControl w:val="0"/>
              <w:tabs>
                <w:tab w:val="left" w:pos="2178"/>
              </w:tabs>
              <w:jc w:val="center"/>
              <w:rPr>
                <w:bCs/>
                <w:color w:val="000000"/>
              </w:rPr>
            </w:pPr>
          </w:p>
          <w:p w14:paraId="0AABBE75" w14:textId="7E6965D4" w:rsidR="000A3451" w:rsidRPr="000A3451" w:rsidRDefault="0003447B" w:rsidP="000A3451">
            <w:pPr>
              <w:widowControl w:val="0"/>
              <w:tabs>
                <w:tab w:val="left" w:pos="2178"/>
              </w:tabs>
              <w:jc w:val="center"/>
              <w:rPr>
                <w:bCs/>
                <w:color w:val="000000"/>
              </w:rPr>
            </w:pPr>
            <w:r>
              <w:rPr>
                <w:bCs/>
                <w:color w:val="000000"/>
              </w:rPr>
              <w:t>Makeup date: May 22</w:t>
            </w:r>
            <w:r w:rsidR="000A3451">
              <w:rPr>
                <w:bCs/>
                <w:color w:val="000000"/>
              </w:rPr>
              <w:t>, 2020 – Day 2 Site Visits</w:t>
            </w:r>
          </w:p>
          <w:p w14:paraId="502CE94E" w14:textId="27A6A398" w:rsidR="00C00178" w:rsidRPr="00A00C4E" w:rsidRDefault="00C00178" w:rsidP="003E4B31">
            <w:pPr>
              <w:widowControl w:val="0"/>
              <w:tabs>
                <w:tab w:val="left" w:pos="2178"/>
              </w:tabs>
              <w:jc w:val="center"/>
              <w:rPr>
                <w:b/>
                <w:bCs/>
                <w:i/>
                <w:color w:val="FF0000"/>
                <w:highlight w:val="yellow"/>
              </w:rPr>
            </w:pPr>
          </w:p>
        </w:tc>
      </w:tr>
      <w:tr w:rsidR="00261E32" w:rsidRPr="003B7ABC" w14:paraId="3457715B" w14:textId="77777777" w:rsidTr="003E4B31">
        <w:trPr>
          <w:trHeight w:val="647"/>
          <w:jc w:val="center"/>
        </w:trPr>
        <w:tc>
          <w:tcPr>
            <w:tcW w:w="4986" w:type="dxa"/>
            <w:vAlign w:val="center"/>
          </w:tcPr>
          <w:p w14:paraId="209A4FDB" w14:textId="60B9AF43" w:rsidR="00261E32" w:rsidRPr="00261E32" w:rsidRDefault="00261E32" w:rsidP="003E4B31">
            <w:pPr>
              <w:widowControl w:val="0"/>
              <w:rPr>
                <w:bCs/>
                <w:i/>
              </w:rPr>
            </w:pPr>
            <w:r>
              <w:rPr>
                <w:bCs/>
              </w:rPr>
              <w:t xml:space="preserve">Deadline for questions </w:t>
            </w:r>
            <w:r>
              <w:rPr>
                <w:bCs/>
                <w:i/>
              </w:rPr>
              <w:t>(estimate only)</w:t>
            </w:r>
          </w:p>
        </w:tc>
        <w:tc>
          <w:tcPr>
            <w:tcW w:w="3192" w:type="dxa"/>
            <w:vAlign w:val="center"/>
          </w:tcPr>
          <w:p w14:paraId="5734EEDB" w14:textId="77777777" w:rsidR="0003447B" w:rsidRDefault="000A3451" w:rsidP="003E4B31">
            <w:pPr>
              <w:widowControl w:val="0"/>
              <w:tabs>
                <w:tab w:val="left" w:pos="2178"/>
              </w:tabs>
              <w:jc w:val="center"/>
              <w:rPr>
                <w:bCs/>
              </w:rPr>
            </w:pPr>
            <w:r>
              <w:rPr>
                <w:bCs/>
              </w:rPr>
              <w:t>May 15</w:t>
            </w:r>
            <w:r w:rsidR="00261E32">
              <w:rPr>
                <w:bCs/>
              </w:rPr>
              <w:t>, 2020</w:t>
            </w:r>
          </w:p>
          <w:p w14:paraId="5AF64239" w14:textId="09DF510C" w:rsidR="00261E32" w:rsidRPr="000A3451" w:rsidRDefault="000A3451" w:rsidP="003E4B31">
            <w:pPr>
              <w:widowControl w:val="0"/>
              <w:tabs>
                <w:tab w:val="left" w:pos="2178"/>
              </w:tabs>
              <w:jc w:val="center"/>
              <w:rPr>
                <w:bCs/>
              </w:rPr>
            </w:pPr>
            <w:r>
              <w:rPr>
                <w:bCs/>
              </w:rPr>
              <w:t xml:space="preserve"> </w:t>
            </w:r>
            <w:r>
              <w:rPr>
                <w:bCs/>
                <w:i/>
              </w:rPr>
              <w:t xml:space="preserve">[Amended to] </w:t>
            </w:r>
            <w:r w:rsidR="0003447B">
              <w:rPr>
                <w:bCs/>
              </w:rPr>
              <w:t>May 26</w:t>
            </w:r>
            <w:r>
              <w:rPr>
                <w:bCs/>
              </w:rPr>
              <w:t>, 2020</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t>Questions and answers posted</w:t>
            </w:r>
          </w:p>
        </w:tc>
        <w:tc>
          <w:tcPr>
            <w:tcW w:w="3192" w:type="dxa"/>
            <w:vAlign w:val="center"/>
          </w:tcPr>
          <w:p w14:paraId="373B2DE6" w14:textId="77777777" w:rsidR="0003447B" w:rsidRDefault="00E43731" w:rsidP="003E4B31">
            <w:pPr>
              <w:widowControl w:val="0"/>
              <w:tabs>
                <w:tab w:val="left" w:pos="2178"/>
              </w:tabs>
              <w:jc w:val="center"/>
              <w:rPr>
                <w:bCs/>
              </w:rPr>
            </w:pPr>
            <w:r>
              <w:rPr>
                <w:bCs/>
              </w:rPr>
              <w:t xml:space="preserve">May </w:t>
            </w:r>
            <w:r w:rsidR="00F766F6">
              <w:rPr>
                <w:bCs/>
              </w:rPr>
              <w:t>21</w:t>
            </w:r>
            <w:r w:rsidR="00A40E8E" w:rsidRPr="007F02D8">
              <w:rPr>
                <w:bCs/>
              </w:rPr>
              <w:t>, 2020</w:t>
            </w:r>
          </w:p>
          <w:p w14:paraId="359C2E7F" w14:textId="4FD8477C" w:rsidR="00C00178" w:rsidRPr="0003447B" w:rsidRDefault="0003447B" w:rsidP="003E4B31">
            <w:pPr>
              <w:widowControl w:val="0"/>
              <w:tabs>
                <w:tab w:val="left" w:pos="2178"/>
              </w:tabs>
              <w:jc w:val="center"/>
              <w:rPr>
                <w:b/>
                <w:bCs/>
                <w:color w:val="000000"/>
              </w:rPr>
            </w:pPr>
            <w:r>
              <w:rPr>
                <w:bCs/>
              </w:rPr>
              <w:t xml:space="preserve"> </w:t>
            </w:r>
            <w:r>
              <w:rPr>
                <w:bCs/>
                <w:i/>
              </w:rPr>
              <w:t xml:space="preserve">[Amended to] </w:t>
            </w:r>
            <w:r>
              <w:rPr>
                <w:bCs/>
              </w:rPr>
              <w:t>May 28, 2020</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5B4C2BF6" w14:textId="508CDFFE" w:rsidR="00C00178" w:rsidRDefault="00A40E8E" w:rsidP="00A40508">
            <w:pPr>
              <w:widowControl w:val="0"/>
              <w:jc w:val="center"/>
              <w:rPr>
                <w:bCs/>
              </w:rPr>
            </w:pPr>
            <w:r w:rsidRPr="007F02D8">
              <w:rPr>
                <w:bCs/>
              </w:rPr>
              <w:t xml:space="preserve">May </w:t>
            </w:r>
            <w:r w:rsidR="007F17FC">
              <w:rPr>
                <w:bCs/>
              </w:rPr>
              <w:t>21</w:t>
            </w:r>
            <w:r w:rsidRPr="007F02D8">
              <w:rPr>
                <w:bCs/>
              </w:rPr>
              <w:t>, 2020 no later than 3:00 PM</w:t>
            </w:r>
            <w:r w:rsidR="007F17FC">
              <w:rPr>
                <w:bCs/>
              </w:rPr>
              <w:t xml:space="preserve"> </w:t>
            </w:r>
          </w:p>
          <w:p w14:paraId="20D2BB37" w14:textId="77777777" w:rsidR="0003447B" w:rsidRDefault="007F17FC" w:rsidP="00A40508">
            <w:pPr>
              <w:widowControl w:val="0"/>
              <w:jc w:val="center"/>
              <w:rPr>
                <w:bCs/>
                <w:i/>
              </w:rPr>
            </w:pPr>
            <w:r>
              <w:rPr>
                <w:bCs/>
                <w:i/>
              </w:rPr>
              <w:t xml:space="preserve">[Amended to] </w:t>
            </w:r>
          </w:p>
          <w:p w14:paraId="0B50BC9C" w14:textId="02A8CD25" w:rsidR="007F17FC" w:rsidRPr="007F17FC" w:rsidRDefault="007F17FC" w:rsidP="00A40508">
            <w:pPr>
              <w:widowControl w:val="0"/>
              <w:jc w:val="center"/>
              <w:rPr>
                <w:b/>
                <w:bCs/>
              </w:rPr>
            </w:pPr>
            <w:r>
              <w:rPr>
                <w:bCs/>
              </w:rPr>
              <w:t>May 29, 2020 no later than 3:00 PM</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0AA70309" w14:textId="77777777" w:rsidR="00C00178" w:rsidRDefault="00EE7EDC" w:rsidP="003E4B31">
            <w:pPr>
              <w:widowControl w:val="0"/>
              <w:jc w:val="center"/>
              <w:rPr>
                <w:bCs/>
              </w:rPr>
            </w:pPr>
            <w:r>
              <w:rPr>
                <w:bCs/>
              </w:rPr>
              <w:t>May 2</w:t>
            </w:r>
            <w:r w:rsidR="00A40E8E" w:rsidRPr="007F02D8">
              <w:rPr>
                <w:bCs/>
              </w:rPr>
              <w:t>5</w:t>
            </w:r>
            <w:r>
              <w:rPr>
                <w:bCs/>
              </w:rPr>
              <w:t xml:space="preserve"> –May 27</w:t>
            </w:r>
            <w:r w:rsidR="00A40E8E" w:rsidRPr="007F02D8">
              <w:rPr>
                <w:bCs/>
              </w:rPr>
              <w:t>, 2020</w:t>
            </w:r>
          </w:p>
          <w:p w14:paraId="1B6456F7" w14:textId="77777777" w:rsidR="0003447B" w:rsidRDefault="0003447B" w:rsidP="003E4B31">
            <w:pPr>
              <w:widowControl w:val="0"/>
              <w:jc w:val="center"/>
              <w:rPr>
                <w:bCs/>
                <w:i/>
              </w:rPr>
            </w:pPr>
            <w:r>
              <w:rPr>
                <w:bCs/>
                <w:i/>
              </w:rPr>
              <w:t xml:space="preserve">[Amended to] </w:t>
            </w:r>
          </w:p>
          <w:p w14:paraId="214A04B3" w14:textId="463932F2" w:rsidR="0003447B" w:rsidRPr="0003447B" w:rsidRDefault="0003447B" w:rsidP="003E4B31">
            <w:pPr>
              <w:widowControl w:val="0"/>
              <w:jc w:val="center"/>
              <w:rPr>
                <w:b/>
                <w:bCs/>
                <w:color w:val="000000"/>
              </w:rPr>
            </w:pPr>
            <w:r>
              <w:rPr>
                <w:bCs/>
              </w:rPr>
              <w:t>June 1 – June 3, 2020</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4256557B" w14:textId="77777777" w:rsidR="0003447B" w:rsidRDefault="00EE7EDC" w:rsidP="003E4B31">
            <w:pPr>
              <w:widowControl w:val="0"/>
              <w:jc w:val="center"/>
              <w:rPr>
                <w:bCs/>
              </w:rPr>
            </w:pPr>
            <w:r>
              <w:rPr>
                <w:bCs/>
              </w:rPr>
              <w:t>June 1</w:t>
            </w:r>
            <w:r w:rsidR="00A40E8E" w:rsidRPr="007F02D8">
              <w:rPr>
                <w:bCs/>
              </w:rPr>
              <w:t>, 2020</w:t>
            </w:r>
          </w:p>
          <w:p w14:paraId="1C0B4CE4" w14:textId="33183281" w:rsidR="00C00178" w:rsidRPr="0003447B" w:rsidRDefault="00A40E8E" w:rsidP="003E4B31">
            <w:pPr>
              <w:widowControl w:val="0"/>
              <w:jc w:val="center"/>
              <w:rPr>
                <w:bCs/>
                <w:color w:val="000000"/>
              </w:rPr>
            </w:pPr>
            <w:r w:rsidRPr="007F02D8">
              <w:rPr>
                <w:b/>
                <w:bCs/>
                <w:color w:val="000000"/>
              </w:rPr>
              <w:t xml:space="preserve"> </w:t>
            </w:r>
            <w:r w:rsidR="0003447B">
              <w:rPr>
                <w:bCs/>
                <w:i/>
                <w:color w:val="000000"/>
              </w:rPr>
              <w:t xml:space="preserve">[Amended to] </w:t>
            </w:r>
            <w:r w:rsidR="0003447B">
              <w:rPr>
                <w:bCs/>
                <w:color w:val="000000"/>
              </w:rPr>
              <w:t>June 5, 2020</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26EABAF5" w14:textId="77777777" w:rsidR="0003447B" w:rsidRDefault="00EE7EDC" w:rsidP="003E4B31">
            <w:pPr>
              <w:widowControl w:val="0"/>
              <w:jc w:val="center"/>
              <w:rPr>
                <w:bCs/>
                <w:i/>
              </w:rPr>
            </w:pPr>
            <w:r>
              <w:rPr>
                <w:bCs/>
              </w:rPr>
              <w:t>June 2-June 12</w:t>
            </w:r>
            <w:r w:rsidR="00A40E8E" w:rsidRPr="007F02D8">
              <w:rPr>
                <w:bCs/>
              </w:rPr>
              <w:t>, 2020</w:t>
            </w:r>
            <w:r w:rsidR="0003447B">
              <w:rPr>
                <w:bCs/>
              </w:rPr>
              <w:t xml:space="preserve"> </w:t>
            </w:r>
            <w:r w:rsidR="0003447B">
              <w:rPr>
                <w:bCs/>
                <w:i/>
              </w:rPr>
              <w:t>[Amended to]</w:t>
            </w:r>
          </w:p>
          <w:p w14:paraId="74909FBB" w14:textId="62A67531" w:rsidR="00C00178" w:rsidRPr="0003447B" w:rsidRDefault="0003447B" w:rsidP="003E4B31">
            <w:pPr>
              <w:widowControl w:val="0"/>
              <w:jc w:val="center"/>
              <w:rPr>
                <w:b/>
                <w:bCs/>
                <w:color w:val="000000"/>
              </w:rPr>
            </w:pPr>
            <w:r>
              <w:rPr>
                <w:bCs/>
                <w:i/>
              </w:rPr>
              <w:t xml:space="preserve"> </w:t>
            </w:r>
            <w:r>
              <w:rPr>
                <w:bCs/>
              </w:rPr>
              <w:t>June 8 – June 18, 2020</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04DE6FDE" w14:textId="77777777" w:rsidR="0003447B" w:rsidRDefault="00FE7EE6" w:rsidP="003E4B31">
            <w:pPr>
              <w:widowControl w:val="0"/>
              <w:jc w:val="center"/>
              <w:rPr>
                <w:bCs/>
              </w:rPr>
            </w:pPr>
            <w:r>
              <w:rPr>
                <w:bCs/>
              </w:rPr>
              <w:t>June</w:t>
            </w:r>
            <w:r w:rsidR="00EE7EDC">
              <w:rPr>
                <w:bCs/>
              </w:rPr>
              <w:t xml:space="preserve"> 15</w:t>
            </w:r>
            <w:r w:rsidR="00A40E8E" w:rsidRPr="007F02D8">
              <w:rPr>
                <w:bCs/>
              </w:rPr>
              <w:t>, 2020</w:t>
            </w:r>
            <w:r w:rsidR="0003447B">
              <w:rPr>
                <w:bCs/>
              </w:rPr>
              <w:t xml:space="preserve"> </w:t>
            </w:r>
          </w:p>
          <w:p w14:paraId="2EE508B6" w14:textId="56E0B075" w:rsidR="00C00178" w:rsidRPr="0003447B" w:rsidRDefault="0003447B" w:rsidP="003E4B31">
            <w:pPr>
              <w:widowControl w:val="0"/>
              <w:jc w:val="center"/>
              <w:rPr>
                <w:b/>
                <w:bCs/>
                <w:color w:val="000000"/>
              </w:rPr>
            </w:pPr>
            <w:r>
              <w:rPr>
                <w:bCs/>
                <w:i/>
              </w:rPr>
              <w:t xml:space="preserve">[Amended to] </w:t>
            </w:r>
            <w:r>
              <w:rPr>
                <w:bCs/>
              </w:rPr>
              <w:t>June 22, 2020</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1C576E0" w14:textId="14165D84" w:rsidR="00EE7EDC" w:rsidRDefault="00EE7EDC" w:rsidP="00A40508">
            <w:pPr>
              <w:widowControl w:val="0"/>
              <w:spacing w:before="120" w:after="120"/>
              <w:jc w:val="center"/>
              <w:rPr>
                <w:bCs/>
              </w:rPr>
            </w:pPr>
            <w:r>
              <w:rPr>
                <w:bCs/>
              </w:rPr>
              <w:t>Initial Term: June 14, 202</w:t>
            </w:r>
            <w:r w:rsidR="00F16421">
              <w:rPr>
                <w:bCs/>
              </w:rPr>
              <w:t>0</w:t>
            </w:r>
            <w:r w:rsidR="0050293C">
              <w:rPr>
                <w:bCs/>
              </w:rPr>
              <w:t xml:space="preserve"> – June 13, 202</w:t>
            </w:r>
            <w:r w:rsidR="00F16421">
              <w:rPr>
                <w:bCs/>
              </w:rPr>
              <w:t>2</w:t>
            </w:r>
          </w:p>
          <w:p w14:paraId="390E5C68" w14:textId="4004CB31" w:rsidR="00453690" w:rsidRDefault="00453690" w:rsidP="00A40508">
            <w:pPr>
              <w:widowControl w:val="0"/>
              <w:spacing w:before="120" w:after="120"/>
              <w:jc w:val="center"/>
              <w:rPr>
                <w:bCs/>
                <w:i/>
              </w:rPr>
            </w:pPr>
            <w:r>
              <w:rPr>
                <w:bCs/>
                <w:i/>
              </w:rPr>
              <w:t>[Amended to]</w:t>
            </w:r>
          </w:p>
          <w:p w14:paraId="12F3E627" w14:textId="79E1A97E" w:rsidR="00453690" w:rsidRPr="00453690" w:rsidRDefault="00453690" w:rsidP="00A40508">
            <w:pPr>
              <w:widowControl w:val="0"/>
              <w:spacing w:before="120" w:after="120"/>
              <w:jc w:val="center"/>
              <w:rPr>
                <w:bCs/>
              </w:rPr>
            </w:pPr>
            <w:r>
              <w:rPr>
                <w:bCs/>
              </w:rPr>
              <w:t>Initial Term: June 22, 2020 – June 21, 2022</w:t>
            </w:r>
          </w:p>
          <w:p w14:paraId="2F7D58BF" w14:textId="473612DE" w:rsidR="00F16421" w:rsidRDefault="00F16421" w:rsidP="00A40508">
            <w:pPr>
              <w:widowControl w:val="0"/>
              <w:spacing w:after="120"/>
              <w:jc w:val="center"/>
              <w:rPr>
                <w:bCs/>
              </w:rPr>
            </w:pPr>
            <w:r>
              <w:rPr>
                <w:bCs/>
              </w:rPr>
              <w:t xml:space="preserve">First </w:t>
            </w:r>
            <w:r w:rsidR="00EE7EDC">
              <w:rPr>
                <w:bCs/>
              </w:rPr>
              <w:t xml:space="preserve">Option Term: </w:t>
            </w:r>
            <w:r w:rsidR="00D11767">
              <w:rPr>
                <w:bCs/>
              </w:rPr>
              <w:t>June 14, 202</w:t>
            </w:r>
            <w:r>
              <w:rPr>
                <w:bCs/>
              </w:rPr>
              <w:t>2</w:t>
            </w:r>
            <w:r w:rsidR="0050293C">
              <w:rPr>
                <w:bCs/>
              </w:rPr>
              <w:t xml:space="preserve"> – June 13, 202</w:t>
            </w:r>
            <w:r>
              <w:rPr>
                <w:bCs/>
              </w:rPr>
              <w:t>4</w:t>
            </w:r>
          </w:p>
          <w:p w14:paraId="007EA139" w14:textId="5EACD273" w:rsidR="00453690" w:rsidRDefault="00453690" w:rsidP="00A40508">
            <w:pPr>
              <w:widowControl w:val="0"/>
              <w:spacing w:after="120"/>
              <w:jc w:val="center"/>
              <w:rPr>
                <w:bCs/>
              </w:rPr>
            </w:pPr>
            <w:r>
              <w:rPr>
                <w:bCs/>
                <w:i/>
              </w:rPr>
              <w:t xml:space="preserve">[Amended to] </w:t>
            </w:r>
          </w:p>
          <w:p w14:paraId="27125FB2" w14:textId="7E4385FC" w:rsidR="00453690" w:rsidRPr="00453690" w:rsidRDefault="00453690" w:rsidP="00A40508">
            <w:pPr>
              <w:widowControl w:val="0"/>
              <w:spacing w:after="120"/>
              <w:jc w:val="center"/>
              <w:rPr>
                <w:bCs/>
              </w:rPr>
            </w:pPr>
            <w:r>
              <w:rPr>
                <w:bCs/>
              </w:rPr>
              <w:t>First Option Term: June 22, 2022 – June 21, 2024</w:t>
            </w:r>
          </w:p>
          <w:p w14:paraId="17096A6A" w14:textId="77777777" w:rsidR="00EE7EDC" w:rsidRDefault="00F16421" w:rsidP="00A40508">
            <w:pPr>
              <w:widowControl w:val="0"/>
              <w:spacing w:after="120"/>
              <w:jc w:val="center"/>
              <w:rPr>
                <w:bCs/>
              </w:rPr>
            </w:pPr>
            <w:r>
              <w:rPr>
                <w:bCs/>
              </w:rPr>
              <w:t>Second Option Term: June 14, 2024 – June 13, 2026</w:t>
            </w:r>
          </w:p>
          <w:p w14:paraId="71F6DDB6" w14:textId="77777777" w:rsidR="00453690" w:rsidRDefault="00453690" w:rsidP="00A40508">
            <w:pPr>
              <w:widowControl w:val="0"/>
              <w:spacing w:after="120"/>
              <w:jc w:val="center"/>
              <w:rPr>
                <w:bCs/>
              </w:rPr>
            </w:pPr>
            <w:r>
              <w:rPr>
                <w:bCs/>
                <w:i/>
              </w:rPr>
              <w:t xml:space="preserve">[Amended to] </w:t>
            </w:r>
          </w:p>
          <w:p w14:paraId="227D23F4" w14:textId="6954A6C7" w:rsidR="00453690" w:rsidRPr="00453690" w:rsidRDefault="00453690" w:rsidP="00A40508">
            <w:pPr>
              <w:widowControl w:val="0"/>
              <w:spacing w:after="120"/>
              <w:jc w:val="center"/>
              <w:rPr>
                <w:bCs/>
              </w:rPr>
            </w:pPr>
            <w:r>
              <w:rPr>
                <w:bCs/>
              </w:rPr>
              <w:t>Second Option Term: June 22, 2024 – June 21, 2026</w:t>
            </w:r>
          </w:p>
        </w:tc>
      </w:tr>
    </w:tbl>
    <w:p w14:paraId="2FE77424" w14:textId="3B227117" w:rsidR="00E945B7" w:rsidRDefault="00E945B7" w:rsidP="00837DE4">
      <w:pPr>
        <w:widowControl w:val="0"/>
        <w:rPr>
          <w:bCs/>
        </w:rPr>
      </w:pPr>
    </w:p>
    <w:p w14:paraId="335960B0" w14:textId="6A78DDCB" w:rsidR="00E945B7" w:rsidRDefault="00FE22B3" w:rsidP="00837DE4">
      <w:pPr>
        <w:widowControl w:val="0"/>
        <w:ind w:left="1440" w:hanging="720"/>
        <w:rPr>
          <w:bCs/>
        </w:rPr>
      </w:pPr>
      <w:r>
        <w:rPr>
          <w:bCs/>
        </w:rPr>
        <w:t>4</w:t>
      </w:r>
      <w:r w:rsidR="002C16EA">
        <w:rPr>
          <w:bCs/>
        </w:rPr>
        <w:t>.1</w:t>
      </w:r>
      <w:r w:rsidR="002C16EA">
        <w:rPr>
          <w:bCs/>
        </w:rPr>
        <w:tab/>
        <w:t>Contractor</w:t>
      </w:r>
      <w:r w:rsidR="00E945B7">
        <w:rPr>
          <w:bCs/>
        </w:rPr>
        <w:t>s assume all risk for ensuring receipt no later than the date and time specified in the Schedule of Events. The Court is not responsible for the fa</w:t>
      </w:r>
      <w:r w:rsidR="002C16EA">
        <w:rPr>
          <w:bCs/>
        </w:rPr>
        <w:t>ilure of a Contractor</w:t>
      </w:r>
      <w:r w:rsidR="00E945B7">
        <w:rPr>
          <w:bCs/>
        </w:rPr>
        <w:t xml:space="preserve">’s choice of delivery service/method. The Court will not open, and will return, any Proposal received after the date and time specified in the Schedule of Events. </w:t>
      </w:r>
    </w:p>
    <w:p w14:paraId="45A69955" w14:textId="5FE3187E" w:rsidR="00E945B7" w:rsidRDefault="00E945B7" w:rsidP="00837DE4">
      <w:pPr>
        <w:widowControl w:val="0"/>
        <w:rPr>
          <w:bCs/>
        </w:rPr>
      </w:pPr>
    </w:p>
    <w:p w14:paraId="3F7CED06" w14:textId="139BF625" w:rsidR="00E945B7" w:rsidRDefault="00FE22B3" w:rsidP="00837DE4">
      <w:pPr>
        <w:widowControl w:val="0"/>
        <w:rPr>
          <w:bCs/>
        </w:rPr>
      </w:pPr>
      <w:r>
        <w:rPr>
          <w:bCs/>
        </w:rPr>
        <w:tab/>
        <w:t>4</w:t>
      </w:r>
      <w:r w:rsidR="00E945B7">
        <w:rPr>
          <w:bCs/>
        </w:rPr>
        <w:t>.2</w:t>
      </w:r>
      <w:r w:rsidR="00E945B7">
        <w:rPr>
          <w:bCs/>
        </w:rPr>
        <w:tab/>
        <w:t xml:space="preserve">Changes to Process for Submitting Proposals and Schedule of Events. </w:t>
      </w:r>
    </w:p>
    <w:p w14:paraId="39B7D950" w14:textId="13311919" w:rsidR="00FE22B3" w:rsidRDefault="00E945B7" w:rsidP="002F1509">
      <w:pPr>
        <w:widowControl w:val="0"/>
        <w:ind w:left="1440"/>
        <w:rPr>
          <w:bCs/>
        </w:rPr>
      </w:pPr>
      <w:r>
        <w:rPr>
          <w:bCs/>
        </w:rPr>
        <w:t>The RFP and Schedule of Events are subject to change. The Court does not send notifications of changes to this RFP or the Schedu</w:t>
      </w:r>
      <w:r w:rsidR="002C16EA">
        <w:rPr>
          <w:bCs/>
        </w:rPr>
        <w:t>le of Events to prospective Contractor</w:t>
      </w:r>
      <w:r>
        <w:rPr>
          <w:bCs/>
        </w:rPr>
        <w:t>s. The Court is not res</w:t>
      </w:r>
      <w:r w:rsidR="002C16EA">
        <w:rPr>
          <w:bCs/>
        </w:rPr>
        <w:t>ponsible for failure of any Contractor</w:t>
      </w:r>
      <w:r>
        <w:rPr>
          <w:bCs/>
        </w:rPr>
        <w:t xml:space="preserve"> to receive notification of changes in a ti</w:t>
      </w:r>
      <w:r w:rsidR="002C16EA">
        <w:rPr>
          <w:bCs/>
        </w:rPr>
        <w:t>mely manner. Contractor</w:t>
      </w:r>
      <w:r>
        <w:rPr>
          <w:bCs/>
        </w:rPr>
        <w:t xml:space="preserve">s are advised to visit the Court website </w:t>
      </w:r>
      <w:r w:rsidRPr="00A4213E">
        <w:rPr>
          <w:bCs/>
        </w:rPr>
        <w:t>(</w:t>
      </w:r>
      <w:hyperlink r:id="rId12" w:history="1">
        <w:r w:rsidRPr="00A4213E">
          <w:rPr>
            <w:rStyle w:val="Hyperlink"/>
          </w:rPr>
          <w:t>www.alameda.courts.ca.gov</w:t>
        </w:r>
      </w:hyperlink>
      <w:r w:rsidRPr="00A4213E">
        <w:rPr>
          <w:bCs/>
        </w:rPr>
        <w:t>)</w:t>
      </w:r>
      <w:r>
        <w:rPr>
          <w:bCs/>
        </w:rPr>
        <w:t xml:space="preserve"> frequently to check for changes and updates to the RFP and the Schedule of Events.</w:t>
      </w:r>
    </w:p>
    <w:p w14:paraId="28C2659E" w14:textId="613E9A71" w:rsidR="00E945B7" w:rsidRDefault="00E945B7" w:rsidP="002F1509">
      <w:pPr>
        <w:widowControl w:val="0"/>
        <w:ind w:left="1440"/>
        <w:rPr>
          <w:bCs/>
        </w:rPr>
      </w:pPr>
      <w:r>
        <w:rPr>
          <w:bCs/>
        </w:rPr>
        <w:t xml:space="preserve"> </w:t>
      </w:r>
    </w:p>
    <w:p w14:paraId="0237A1FE" w14:textId="29C92DE1" w:rsidR="002E7965" w:rsidRDefault="000A26F5" w:rsidP="002E7965">
      <w:pPr>
        <w:keepNext/>
        <w:rPr>
          <w:b/>
          <w:bCs/>
          <w:color w:val="000000"/>
        </w:rPr>
      </w:pPr>
      <w:r>
        <w:rPr>
          <w:b/>
          <w:bCs/>
          <w:color w:val="000000"/>
        </w:rPr>
        <w:t>5</w:t>
      </w:r>
      <w:r w:rsidR="002E7965">
        <w:rPr>
          <w:b/>
          <w:bCs/>
          <w:color w:val="000000"/>
        </w:rPr>
        <w:t>.0</w:t>
      </w:r>
      <w:r w:rsidR="002E7965">
        <w:rPr>
          <w:b/>
          <w:bCs/>
          <w:color w:val="000000"/>
        </w:rPr>
        <w:tab/>
      </w:r>
      <w:r w:rsidR="002E7965" w:rsidRPr="00D74462">
        <w:rPr>
          <w:b/>
          <w:bCs/>
          <w:color w:val="000000"/>
        </w:rPr>
        <w:t>RFP ATTACHMENTS</w:t>
      </w:r>
    </w:p>
    <w:p w14:paraId="5B858E2C" w14:textId="3E6FCFC7" w:rsidR="00147980" w:rsidRDefault="002E7965" w:rsidP="00147980">
      <w:pPr>
        <w:pStyle w:val="BodyTextIndent2"/>
        <w:spacing w:after="0"/>
        <w:rPr>
          <w:color w:val="000000"/>
        </w:rPr>
      </w:pPr>
      <w:r>
        <w:rPr>
          <w:color w:val="000000"/>
        </w:rPr>
        <w:t>The following attachments are included as part of this RFP</w:t>
      </w:r>
      <w:r w:rsidR="002F1509">
        <w:rPr>
          <w:color w:val="000000"/>
        </w:rPr>
        <w:t>:</w:t>
      </w:r>
    </w:p>
    <w:tbl>
      <w:tblPr>
        <w:tblStyle w:val="TableGrid"/>
        <w:tblW w:w="0" w:type="auto"/>
        <w:tblInd w:w="360" w:type="dxa"/>
        <w:tblLook w:val="04A0" w:firstRow="1" w:lastRow="0" w:firstColumn="1" w:lastColumn="0" w:noHBand="0" w:noVBand="1"/>
      </w:tblPr>
      <w:tblGrid>
        <w:gridCol w:w="2335"/>
        <w:gridCol w:w="6655"/>
      </w:tblGrid>
      <w:tr w:rsidR="00700F34" w:rsidRPr="00700F34" w14:paraId="4678C43D" w14:textId="77777777" w:rsidTr="00A40508">
        <w:tc>
          <w:tcPr>
            <w:tcW w:w="2335" w:type="dxa"/>
            <w:vAlign w:val="center"/>
          </w:tcPr>
          <w:p w14:paraId="778C6066" w14:textId="5B9B58EC" w:rsidR="00700F34" w:rsidRPr="00A40508" w:rsidRDefault="00700F34" w:rsidP="00A40508">
            <w:pPr>
              <w:pStyle w:val="BodyTextIndent2"/>
              <w:spacing w:after="0" w:line="240" w:lineRule="auto"/>
              <w:ind w:left="0"/>
            </w:pPr>
            <w:r>
              <w:rPr>
                <w:b/>
                <w:bCs/>
                <w:color w:val="000000"/>
              </w:rPr>
              <w:t>ATTACHMENT</w:t>
            </w:r>
          </w:p>
        </w:tc>
        <w:tc>
          <w:tcPr>
            <w:tcW w:w="6655" w:type="dxa"/>
            <w:vAlign w:val="center"/>
          </w:tcPr>
          <w:p w14:paraId="5F5B23C9" w14:textId="5DEAB4E2" w:rsidR="00700F34" w:rsidRPr="00A40508" w:rsidRDefault="00700F34" w:rsidP="00A40508">
            <w:pPr>
              <w:pStyle w:val="BodyTextIndent2"/>
              <w:spacing w:after="0" w:line="240" w:lineRule="auto"/>
              <w:ind w:left="0"/>
            </w:pPr>
            <w:r w:rsidRPr="00A40508">
              <w:rPr>
                <w:b/>
                <w:bCs/>
                <w:color w:val="000000"/>
              </w:rPr>
              <w:t>DESCRIPTION</w:t>
            </w:r>
          </w:p>
        </w:tc>
      </w:tr>
      <w:tr w:rsidR="00700F34" w:rsidRPr="00700F34" w14:paraId="4355C20D" w14:textId="77777777" w:rsidTr="00A40508">
        <w:tc>
          <w:tcPr>
            <w:tcW w:w="2335" w:type="dxa"/>
          </w:tcPr>
          <w:p w14:paraId="220D396B" w14:textId="102A1E1E" w:rsidR="00700F34" w:rsidRPr="00A40508" w:rsidRDefault="00700F34" w:rsidP="00A40508">
            <w:pPr>
              <w:pStyle w:val="BodyTextIndent2"/>
              <w:spacing w:after="0" w:line="240" w:lineRule="auto"/>
              <w:ind w:left="0"/>
            </w:pPr>
            <w:r w:rsidRPr="00A00C4E">
              <w:rPr>
                <w:bCs/>
                <w:color w:val="000000" w:themeColor="text1"/>
              </w:rPr>
              <w:t>Attachment 1: Administrative Rules Governing RFPs (Non-IT Services)</w:t>
            </w:r>
            <w:r w:rsidRPr="00A00C4E">
              <w:rPr>
                <w:bCs/>
                <w:vanish/>
                <w:color w:val="000000" w:themeColor="text1"/>
              </w:rPr>
              <w:t>:</w:t>
            </w:r>
          </w:p>
        </w:tc>
        <w:tc>
          <w:tcPr>
            <w:tcW w:w="6655" w:type="dxa"/>
          </w:tcPr>
          <w:p w14:paraId="70608EDE" w14:textId="3AD21A79" w:rsidR="00700F34" w:rsidRPr="00A40508" w:rsidRDefault="00700F34" w:rsidP="00A40508">
            <w:pPr>
              <w:pStyle w:val="BodyTextIndent2"/>
              <w:spacing w:after="0" w:line="240" w:lineRule="auto"/>
              <w:ind w:left="0"/>
            </w:pPr>
            <w:r w:rsidRPr="00A00C4E">
              <w:t>These rules govern this solicitation.</w:t>
            </w:r>
          </w:p>
        </w:tc>
      </w:tr>
      <w:tr w:rsidR="00700F34" w:rsidRPr="00700F34" w14:paraId="0FD71EBF" w14:textId="77777777" w:rsidTr="00A40508">
        <w:tc>
          <w:tcPr>
            <w:tcW w:w="2335" w:type="dxa"/>
          </w:tcPr>
          <w:p w14:paraId="4C0239AC" w14:textId="294E68ED" w:rsidR="00700F34" w:rsidRPr="00A40508" w:rsidRDefault="00700F34" w:rsidP="00A40508">
            <w:pPr>
              <w:pStyle w:val="BodyTextIndent2"/>
              <w:spacing w:after="0" w:line="240" w:lineRule="auto"/>
              <w:ind w:left="0"/>
            </w:pPr>
            <w:r w:rsidRPr="00A00C4E">
              <w:rPr>
                <w:bCs/>
                <w:color w:val="000000" w:themeColor="text1"/>
              </w:rPr>
              <w:t xml:space="preserve">Attachment </w:t>
            </w:r>
            <w:r w:rsidRPr="00A00C4E">
              <w:rPr>
                <w:color w:val="000000"/>
              </w:rPr>
              <w:t xml:space="preserve">2:  </w:t>
            </w:r>
            <w:r>
              <w:rPr>
                <w:color w:val="000000"/>
              </w:rPr>
              <w:t xml:space="preserve">Court </w:t>
            </w:r>
            <w:r w:rsidRPr="00A00C4E">
              <w:rPr>
                <w:color w:val="000000"/>
              </w:rPr>
              <w:t>Standard Terms and Conditions</w:t>
            </w:r>
          </w:p>
        </w:tc>
        <w:tc>
          <w:tcPr>
            <w:tcW w:w="6655" w:type="dxa"/>
          </w:tcPr>
          <w:p w14:paraId="401C2530" w14:textId="77777777" w:rsidR="00700F34" w:rsidRPr="00A00C4E" w:rsidRDefault="00700F34" w:rsidP="00700F34">
            <w:pPr>
              <w:widowControl w:val="0"/>
              <w:tabs>
                <w:tab w:val="left" w:pos="2178"/>
              </w:tabs>
              <w:rPr>
                <w:color w:val="000000"/>
              </w:rPr>
            </w:pPr>
            <w:r w:rsidRPr="00A00C4E">
              <w:rPr>
                <w:color w:val="000000"/>
              </w:rPr>
              <w:t xml:space="preserve">If selected, the person or entity submitting a proposal (the “Proposer”) must sign this </w:t>
            </w:r>
            <w:r>
              <w:rPr>
                <w:color w:val="000000"/>
              </w:rPr>
              <w:t xml:space="preserve">Standard Terms and Conditions. </w:t>
            </w:r>
          </w:p>
          <w:p w14:paraId="12CB7B28" w14:textId="77777777" w:rsidR="00700F34" w:rsidRPr="00A00C4E" w:rsidRDefault="00700F34" w:rsidP="00700F34">
            <w:pPr>
              <w:widowControl w:val="0"/>
              <w:tabs>
                <w:tab w:val="left" w:pos="2178"/>
              </w:tabs>
              <w:rPr>
                <w:color w:val="000000"/>
              </w:rPr>
            </w:pPr>
          </w:p>
          <w:p w14:paraId="0C6B6A3B" w14:textId="77777777" w:rsidR="00700F34" w:rsidRPr="00A40508" w:rsidRDefault="00700F34" w:rsidP="00A40508">
            <w:pPr>
              <w:pStyle w:val="BodyTextIndent2"/>
              <w:spacing w:after="0" w:line="240" w:lineRule="auto"/>
              <w:ind w:left="0"/>
            </w:pPr>
          </w:p>
        </w:tc>
      </w:tr>
      <w:tr w:rsidR="00700F34" w:rsidRPr="00700F34" w14:paraId="48741469" w14:textId="77777777" w:rsidTr="00A40508">
        <w:tc>
          <w:tcPr>
            <w:tcW w:w="2335" w:type="dxa"/>
          </w:tcPr>
          <w:p w14:paraId="4AC33989" w14:textId="23406368" w:rsidR="00700F34" w:rsidRPr="00A40508" w:rsidRDefault="00700F34" w:rsidP="00A40508">
            <w:pPr>
              <w:pStyle w:val="BodyTextIndent2"/>
              <w:spacing w:after="0" w:line="240" w:lineRule="auto"/>
              <w:ind w:left="0"/>
            </w:pPr>
            <w:r w:rsidRPr="00A00C4E">
              <w:rPr>
                <w:bCs/>
                <w:color w:val="000000" w:themeColor="text1"/>
              </w:rPr>
              <w:t xml:space="preserve">Attachment </w:t>
            </w:r>
            <w:r w:rsidRPr="00A00C4E">
              <w:rPr>
                <w:color w:val="000000"/>
              </w:rPr>
              <w:t>3: Proposer’s Acceptance  of Terms and Conditions</w:t>
            </w:r>
          </w:p>
        </w:tc>
        <w:tc>
          <w:tcPr>
            <w:tcW w:w="6655" w:type="dxa"/>
          </w:tcPr>
          <w:p w14:paraId="78325742" w14:textId="77777777" w:rsidR="00700F34" w:rsidRPr="00A00C4E" w:rsidRDefault="00700F34" w:rsidP="00700F34">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3E8326CB" w14:textId="77777777" w:rsidR="00700F34" w:rsidRPr="00A40508" w:rsidRDefault="00700F34" w:rsidP="00A40508">
            <w:pPr>
              <w:pStyle w:val="BodyTextIndent2"/>
              <w:spacing w:after="0" w:line="240" w:lineRule="auto"/>
              <w:ind w:left="0"/>
            </w:pPr>
          </w:p>
        </w:tc>
      </w:tr>
      <w:tr w:rsidR="00700F34" w:rsidRPr="00700F34" w14:paraId="40A83FC3" w14:textId="77777777" w:rsidTr="00A40508">
        <w:tc>
          <w:tcPr>
            <w:tcW w:w="2335" w:type="dxa"/>
          </w:tcPr>
          <w:p w14:paraId="283FD1BE" w14:textId="3E4A6DF2" w:rsidR="00700F34" w:rsidRPr="00A40508" w:rsidRDefault="00700F34" w:rsidP="00A40508">
            <w:pPr>
              <w:pStyle w:val="BodyTextIndent2"/>
              <w:spacing w:after="0" w:line="240" w:lineRule="auto"/>
              <w:ind w:left="0"/>
            </w:pPr>
            <w:r>
              <w:rPr>
                <w:bCs/>
                <w:color w:val="000000" w:themeColor="text1"/>
              </w:rPr>
              <w:t>Attachment 4: General Certifications Form</w:t>
            </w:r>
          </w:p>
        </w:tc>
        <w:tc>
          <w:tcPr>
            <w:tcW w:w="6655" w:type="dxa"/>
          </w:tcPr>
          <w:p w14:paraId="335E3872" w14:textId="4868B734" w:rsidR="00700F34" w:rsidRPr="00A40508" w:rsidRDefault="00700F34" w:rsidP="00A40508">
            <w:pPr>
              <w:pStyle w:val="BodyTextIndent2"/>
              <w:spacing w:after="0" w:line="240" w:lineRule="auto"/>
              <w:ind w:left="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700F34" w:rsidRPr="00700F34" w14:paraId="0DE51399" w14:textId="77777777" w:rsidTr="00A40508">
        <w:tc>
          <w:tcPr>
            <w:tcW w:w="2335" w:type="dxa"/>
          </w:tcPr>
          <w:p w14:paraId="11A2E739" w14:textId="74491B02" w:rsidR="00700F34" w:rsidRPr="00A40508" w:rsidRDefault="00700F34" w:rsidP="00A40508">
            <w:pPr>
              <w:pStyle w:val="BodyTextIndent2"/>
              <w:spacing w:after="0" w:line="240" w:lineRule="auto"/>
              <w:ind w:left="0"/>
            </w:pPr>
            <w:r w:rsidRPr="00A00C4E">
              <w:rPr>
                <w:bCs/>
              </w:rPr>
              <w:t xml:space="preserve">Attachment </w:t>
            </w:r>
            <w:r>
              <w:rPr>
                <w:bCs/>
              </w:rPr>
              <w:t>5</w:t>
            </w:r>
            <w:r w:rsidRPr="00A00C4E">
              <w:rPr>
                <w:bCs/>
              </w:rPr>
              <w:t>: Darfur Contracting Act Certification</w:t>
            </w:r>
          </w:p>
        </w:tc>
        <w:tc>
          <w:tcPr>
            <w:tcW w:w="6655" w:type="dxa"/>
          </w:tcPr>
          <w:p w14:paraId="318D1ED8" w14:textId="339E02C1" w:rsidR="00700F34" w:rsidRPr="00A40508" w:rsidRDefault="00700F34" w:rsidP="00A40508">
            <w:pPr>
              <w:pStyle w:val="BodyTextIndent2"/>
              <w:spacing w:after="0" w:line="240" w:lineRule="auto"/>
              <w:ind w:left="0"/>
            </w:pPr>
            <w:r>
              <w:t xml:space="preserve">The </w:t>
            </w:r>
            <w:r w:rsidRPr="00A00C4E">
              <w:t>Proposer must complete the Darfur Contracting Act Certification and submit the completed certification with its proposal.</w:t>
            </w:r>
          </w:p>
        </w:tc>
      </w:tr>
      <w:tr w:rsidR="00700F34" w:rsidRPr="00700F34" w14:paraId="5D52E5FD" w14:textId="77777777" w:rsidTr="00700F34">
        <w:tc>
          <w:tcPr>
            <w:tcW w:w="2335" w:type="dxa"/>
          </w:tcPr>
          <w:p w14:paraId="1941AE81" w14:textId="1CB4E66A" w:rsidR="00700F34" w:rsidRPr="00A00C4E" w:rsidRDefault="00700F34" w:rsidP="00700F34">
            <w:pPr>
              <w:pStyle w:val="BodyTextIndent2"/>
              <w:spacing w:after="0" w:line="240" w:lineRule="auto"/>
              <w:ind w:left="0"/>
              <w:rPr>
                <w:bCs/>
              </w:rPr>
            </w:pPr>
            <w:r w:rsidRPr="00A00C4E">
              <w:rPr>
                <w:bCs/>
              </w:rPr>
              <w:t xml:space="preserve">Attachment </w:t>
            </w:r>
            <w:r>
              <w:rPr>
                <w:bCs/>
              </w:rPr>
              <w:t>6</w:t>
            </w:r>
            <w:r w:rsidRPr="00A00C4E">
              <w:rPr>
                <w:bCs/>
              </w:rPr>
              <w:t xml:space="preserve">: </w:t>
            </w:r>
            <w:r w:rsidRPr="00A00C4E">
              <w:t xml:space="preserve"> </w:t>
            </w:r>
            <w:r w:rsidRPr="00A00C4E">
              <w:rPr>
                <w:bCs/>
              </w:rPr>
              <w:t>Payee Data Record Form</w:t>
            </w:r>
          </w:p>
        </w:tc>
        <w:tc>
          <w:tcPr>
            <w:tcW w:w="6655" w:type="dxa"/>
          </w:tcPr>
          <w:p w14:paraId="07D04E27" w14:textId="62F836A4" w:rsidR="00700F34" w:rsidRDefault="00700F34" w:rsidP="00700F34">
            <w:pPr>
              <w:pStyle w:val="BodyTextIndent2"/>
              <w:spacing w:after="0" w:line="240" w:lineRule="auto"/>
              <w:ind w:left="0"/>
            </w:pPr>
            <w:r w:rsidRPr="00A00C4E">
              <w:rPr>
                <w:bCs/>
              </w:rPr>
              <w:t xml:space="preserve">This form contains information the </w:t>
            </w:r>
            <w:r>
              <w:rPr>
                <w:bCs/>
              </w:rPr>
              <w:t>Court</w:t>
            </w:r>
            <w:r w:rsidRPr="00A00C4E">
              <w:rPr>
                <w:bCs/>
              </w:rPr>
              <w:t xml:space="preserve"> requires in order to process payments and must be submitted with the proposal.</w:t>
            </w:r>
          </w:p>
        </w:tc>
      </w:tr>
      <w:tr w:rsidR="00700F34" w:rsidRPr="00700F34" w14:paraId="244B2E94" w14:textId="77777777" w:rsidTr="00700F34">
        <w:tc>
          <w:tcPr>
            <w:tcW w:w="2335" w:type="dxa"/>
          </w:tcPr>
          <w:p w14:paraId="0E5E2F14" w14:textId="213FDC67" w:rsidR="00700F34" w:rsidRPr="00A00C4E" w:rsidRDefault="00700F34" w:rsidP="00700F34">
            <w:pPr>
              <w:pStyle w:val="BodyTextIndent2"/>
              <w:spacing w:after="0" w:line="240" w:lineRule="auto"/>
              <w:ind w:left="0"/>
              <w:rPr>
                <w:bCs/>
              </w:rPr>
            </w:pPr>
            <w:r w:rsidRPr="00A00C4E">
              <w:rPr>
                <w:bCs/>
              </w:rPr>
              <w:t xml:space="preserve">Attachment </w:t>
            </w:r>
            <w:r>
              <w:rPr>
                <w:bCs/>
              </w:rPr>
              <w:t>7</w:t>
            </w:r>
            <w:r w:rsidRPr="00A00C4E">
              <w:rPr>
                <w:bCs/>
              </w:rPr>
              <w:t>: Iran Contracting Act Certification</w:t>
            </w:r>
          </w:p>
        </w:tc>
        <w:tc>
          <w:tcPr>
            <w:tcW w:w="6655" w:type="dxa"/>
          </w:tcPr>
          <w:p w14:paraId="1BEFE47A" w14:textId="77777777" w:rsidR="00700F34" w:rsidRDefault="00700F34" w:rsidP="00700F34">
            <w:pPr>
              <w:pStyle w:val="BodyTextIndent2"/>
              <w:spacing w:after="0" w:line="240" w:lineRule="auto"/>
              <w:ind w:left="0"/>
              <w:rPr>
                <w:i/>
                <w:color w:val="FF0000"/>
              </w:rPr>
            </w:pPr>
            <w:r w:rsidRPr="00A00C4E">
              <w:rPr>
                <w:b/>
                <w:i/>
                <w:color w:val="FF0000"/>
              </w:rPr>
              <w:t>[Only for solicitations of $1,000,000 or more]</w:t>
            </w:r>
            <w:r w:rsidRPr="00A00C4E">
              <w:rPr>
                <w:i/>
                <w:color w:val="FF0000"/>
              </w:rPr>
              <w:t xml:space="preserve"> </w:t>
            </w:r>
          </w:p>
          <w:p w14:paraId="4E40BACD" w14:textId="07A9E62C" w:rsidR="00700F34" w:rsidRDefault="00700F34" w:rsidP="00700F34">
            <w:pPr>
              <w:pStyle w:val="BodyTextIndent2"/>
              <w:spacing w:after="0" w:line="240" w:lineRule="auto"/>
              <w:ind w:left="0"/>
            </w:pPr>
            <w:r>
              <w:t xml:space="preserve">The </w:t>
            </w:r>
            <w:r w:rsidRPr="00A00C4E">
              <w:t>Proposer must complete the Iran Contracting Act Certification and submit the completed certification with its proposal.</w:t>
            </w:r>
          </w:p>
        </w:tc>
      </w:tr>
      <w:tr w:rsidR="00700F34" w:rsidRPr="00700F34" w14:paraId="28B50A22" w14:textId="77777777" w:rsidTr="00700F34">
        <w:tc>
          <w:tcPr>
            <w:tcW w:w="2335" w:type="dxa"/>
          </w:tcPr>
          <w:p w14:paraId="26480C32" w14:textId="37423D83" w:rsidR="00700F34" w:rsidRPr="00A00C4E" w:rsidRDefault="00700F34" w:rsidP="00700F34">
            <w:pPr>
              <w:pStyle w:val="BodyTextIndent2"/>
              <w:spacing w:after="0" w:line="240" w:lineRule="auto"/>
              <w:ind w:left="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655" w:type="dxa"/>
          </w:tcPr>
          <w:p w14:paraId="070621CF" w14:textId="77777777" w:rsidR="00700F34" w:rsidRDefault="00700F34" w:rsidP="00700F34">
            <w:pPr>
              <w:pStyle w:val="BodyTextIndent2"/>
              <w:spacing w:after="0" w:line="240" w:lineRule="auto"/>
              <w:ind w:left="0"/>
              <w:rPr>
                <w:i/>
                <w:color w:val="FF0000"/>
              </w:rPr>
            </w:pPr>
            <w:r>
              <w:rPr>
                <w:b/>
                <w:i/>
                <w:color w:val="FF0000"/>
              </w:rPr>
              <w:t>[Only for solicitations of $1</w:t>
            </w:r>
            <w:r w:rsidRPr="009E716F">
              <w:rPr>
                <w:b/>
                <w:i/>
                <w:color w:val="FF0000"/>
              </w:rPr>
              <w:t>00,000 or more]</w:t>
            </w:r>
            <w:r w:rsidRPr="009E716F">
              <w:rPr>
                <w:i/>
                <w:color w:val="FF0000"/>
              </w:rPr>
              <w:t xml:space="preserve"> </w:t>
            </w:r>
          </w:p>
          <w:p w14:paraId="3508ABD6" w14:textId="78A25790" w:rsidR="00700F34" w:rsidRDefault="00700F34" w:rsidP="00700F34">
            <w:pPr>
              <w:pStyle w:val="BodyTextIndent2"/>
              <w:spacing w:after="0" w:line="240" w:lineRule="auto"/>
              <w:ind w:left="0"/>
            </w:pPr>
            <w:r>
              <w:t>The Proposer</w:t>
            </w:r>
            <w:r w:rsidRPr="005D4F27">
              <w:t xml:space="preserve"> must complete the Unruh Civil Rights Act and California Fair Employment and Housing Act Certification.</w:t>
            </w:r>
          </w:p>
        </w:tc>
      </w:tr>
      <w:tr w:rsidR="00973BA9" w:rsidRPr="00700F34" w14:paraId="37BE1E48" w14:textId="77777777" w:rsidTr="00700F34">
        <w:tc>
          <w:tcPr>
            <w:tcW w:w="2335" w:type="dxa"/>
          </w:tcPr>
          <w:p w14:paraId="3B3AD15A" w14:textId="6436755B" w:rsidR="00973BA9" w:rsidRDefault="00973BA9" w:rsidP="00700F34">
            <w:pPr>
              <w:pStyle w:val="BodyTextIndent2"/>
              <w:spacing w:after="0" w:line="240" w:lineRule="auto"/>
              <w:ind w:left="0"/>
            </w:pPr>
            <w:r>
              <w:t>Attachment 9: Small Bidder Declaration Form</w:t>
            </w:r>
          </w:p>
        </w:tc>
        <w:tc>
          <w:tcPr>
            <w:tcW w:w="6655" w:type="dxa"/>
          </w:tcPr>
          <w:p w14:paraId="5A7E3B84" w14:textId="3E3462C8" w:rsidR="00973BA9" w:rsidRDefault="00973BA9" w:rsidP="00700F34">
            <w:pPr>
              <w:pStyle w:val="BodyTextIndent2"/>
              <w:spacing w:after="0" w:line="240" w:lineRule="auto"/>
              <w:ind w:left="0"/>
            </w:pPr>
            <w:r>
              <w:t xml:space="preserve">Separate Attachment found on the website where the RFP is posted. Complete this form only if Proposer will claim the small business preference associated with this solicitation.  </w:t>
            </w:r>
          </w:p>
        </w:tc>
      </w:tr>
      <w:tr w:rsidR="00973BA9" w:rsidRPr="00700F34" w14:paraId="52F865D4" w14:textId="77777777" w:rsidTr="00700F34">
        <w:tc>
          <w:tcPr>
            <w:tcW w:w="2335" w:type="dxa"/>
          </w:tcPr>
          <w:p w14:paraId="001DA8FD" w14:textId="3A8889AB" w:rsidR="00973BA9" w:rsidRDefault="00973BA9" w:rsidP="00700F34">
            <w:pPr>
              <w:pStyle w:val="BodyTextIndent2"/>
              <w:spacing w:after="0" w:line="240" w:lineRule="auto"/>
              <w:ind w:left="0"/>
            </w:pPr>
            <w:r>
              <w:t>Attachment 10: DVBE Declaration</w:t>
            </w:r>
          </w:p>
        </w:tc>
        <w:tc>
          <w:tcPr>
            <w:tcW w:w="6655" w:type="dxa"/>
          </w:tcPr>
          <w:p w14:paraId="0CE89DBF" w14:textId="3B1E0B49" w:rsidR="00973BA9" w:rsidRDefault="00973BA9" w:rsidP="00700F34">
            <w:pPr>
              <w:pStyle w:val="BodyTextIndent2"/>
              <w:spacing w:after="0" w:line="240" w:lineRule="auto"/>
              <w:ind w:left="0"/>
            </w:pPr>
            <w:r>
              <w:t xml:space="preserve">Separate Attachment found on the website where the RFP is posted. Complete this form only if Proposer will claim DVBE incentive associated with this solicitation. </w:t>
            </w:r>
          </w:p>
        </w:tc>
      </w:tr>
      <w:tr w:rsidR="00700F34" w:rsidRPr="00700F34" w14:paraId="5AA16F24" w14:textId="77777777" w:rsidTr="00700F34">
        <w:tc>
          <w:tcPr>
            <w:tcW w:w="2335" w:type="dxa"/>
          </w:tcPr>
          <w:p w14:paraId="66468A77" w14:textId="3F64F86F" w:rsidR="00700F34" w:rsidRPr="00A00C4E" w:rsidRDefault="00700F34" w:rsidP="00700F34">
            <w:pPr>
              <w:pStyle w:val="BodyTextIndent2"/>
              <w:spacing w:after="0" w:line="240" w:lineRule="auto"/>
              <w:ind w:left="0"/>
              <w:rPr>
                <w:bCs/>
              </w:rPr>
            </w:pPr>
            <w:r>
              <w:t>At</w:t>
            </w:r>
            <w:r w:rsidR="00973BA9">
              <w:t>tachment 11</w:t>
            </w:r>
            <w:r>
              <w:t>: Question and Answer Submission Form</w:t>
            </w:r>
          </w:p>
        </w:tc>
        <w:tc>
          <w:tcPr>
            <w:tcW w:w="6655" w:type="dxa"/>
          </w:tcPr>
          <w:p w14:paraId="3B3AD245" w14:textId="46C66C9B" w:rsidR="00700F34" w:rsidRDefault="00700F34" w:rsidP="00700F34">
            <w:pPr>
              <w:pStyle w:val="BodyTextIndent2"/>
              <w:spacing w:after="0" w:line="240" w:lineRule="auto"/>
              <w:ind w:left="0"/>
            </w:pPr>
            <w:r>
              <w:t>Separate attachment found on the website where the RFP is posted. Form must be submitted when Prospective Bidder has a question regarding the RFP. Answers will be posted onto the Court’s website</w:t>
            </w:r>
          </w:p>
        </w:tc>
      </w:tr>
      <w:tr w:rsidR="00700F34" w:rsidRPr="00700F34" w14:paraId="47AE00B0" w14:textId="77777777" w:rsidTr="00700F34">
        <w:tc>
          <w:tcPr>
            <w:tcW w:w="2335" w:type="dxa"/>
          </w:tcPr>
          <w:p w14:paraId="331D7086" w14:textId="1F12A6FF" w:rsidR="00700F34" w:rsidRPr="00A00C4E" w:rsidRDefault="00700F34" w:rsidP="00700F34">
            <w:pPr>
              <w:pStyle w:val="BodyTextIndent2"/>
              <w:spacing w:after="0" w:line="240" w:lineRule="auto"/>
              <w:ind w:left="0"/>
              <w:rPr>
                <w:bCs/>
              </w:rPr>
            </w:pPr>
            <w:r w:rsidRPr="0087062A">
              <w:t>Attachment 1</w:t>
            </w:r>
            <w:r w:rsidR="00973BA9">
              <w:t>2</w:t>
            </w:r>
            <w:r w:rsidRPr="0087062A">
              <w:t>: Designated Subcontractor List Form</w:t>
            </w:r>
          </w:p>
        </w:tc>
        <w:tc>
          <w:tcPr>
            <w:tcW w:w="6655" w:type="dxa"/>
          </w:tcPr>
          <w:p w14:paraId="0B72A198" w14:textId="77F9D8F6" w:rsidR="00700F34" w:rsidRDefault="00700F34" w:rsidP="00700F34">
            <w:pPr>
              <w:pStyle w:val="BodyTextIndent2"/>
              <w:spacing w:after="0" w:line="240" w:lineRule="auto"/>
              <w:ind w:left="0"/>
            </w:pPr>
            <w:r>
              <w:t xml:space="preserve">Separate Attachment found on the website where the RFP is posted. The Prospective Bidder provide a list of each subcontractor who will be employed, and the kind of work that each will perform using the attached form. </w:t>
            </w:r>
          </w:p>
        </w:tc>
      </w:tr>
      <w:tr w:rsidR="00700F34" w:rsidRPr="00700F34" w14:paraId="1648B020" w14:textId="77777777" w:rsidTr="00700F34">
        <w:tc>
          <w:tcPr>
            <w:tcW w:w="2335" w:type="dxa"/>
          </w:tcPr>
          <w:p w14:paraId="5E489A8F" w14:textId="4E9056CD" w:rsidR="00700F34" w:rsidRPr="00A00C4E" w:rsidRDefault="00973BA9" w:rsidP="00700F34">
            <w:pPr>
              <w:pStyle w:val="BodyTextIndent2"/>
              <w:spacing w:after="0" w:line="240" w:lineRule="auto"/>
              <w:ind w:left="0"/>
              <w:rPr>
                <w:bCs/>
              </w:rPr>
            </w:pPr>
            <w:r>
              <w:t>Attachment 13</w:t>
            </w:r>
            <w:r w:rsidR="00700F34" w:rsidRPr="0087062A">
              <w:t>: Tool Control Policy</w:t>
            </w:r>
          </w:p>
        </w:tc>
        <w:tc>
          <w:tcPr>
            <w:tcW w:w="6655" w:type="dxa"/>
          </w:tcPr>
          <w:p w14:paraId="225E49FA" w14:textId="439A3926" w:rsidR="00700F34" w:rsidRDefault="00700F34" w:rsidP="00700F34">
            <w:pPr>
              <w:pStyle w:val="BodyTextIndent2"/>
              <w:spacing w:after="0" w:line="240" w:lineRule="auto"/>
              <w:ind w:left="0"/>
            </w:pPr>
            <w:r>
              <w:t xml:space="preserve">Separate Attachment found on the website where the RFP is posted. </w:t>
            </w:r>
          </w:p>
        </w:tc>
      </w:tr>
      <w:tr w:rsidR="00700F34" w:rsidRPr="00700F34" w14:paraId="09E9F78E" w14:textId="77777777" w:rsidTr="00700F34">
        <w:tc>
          <w:tcPr>
            <w:tcW w:w="2335" w:type="dxa"/>
          </w:tcPr>
          <w:p w14:paraId="5F24D849" w14:textId="325806DD" w:rsidR="00700F34" w:rsidRPr="00A00C4E" w:rsidRDefault="00973BA9" w:rsidP="00700F34">
            <w:pPr>
              <w:pStyle w:val="BodyTextIndent2"/>
              <w:spacing w:after="0" w:line="240" w:lineRule="auto"/>
              <w:ind w:left="0"/>
              <w:rPr>
                <w:bCs/>
              </w:rPr>
            </w:pPr>
            <w:r>
              <w:t>Attachment 14</w:t>
            </w:r>
            <w:r w:rsidR="00700F34" w:rsidRPr="0087062A">
              <w:t>: Sample Work Order Form</w:t>
            </w:r>
          </w:p>
        </w:tc>
        <w:tc>
          <w:tcPr>
            <w:tcW w:w="6655" w:type="dxa"/>
          </w:tcPr>
          <w:p w14:paraId="238A40F0" w14:textId="0FD3FFCA" w:rsidR="00700F34" w:rsidRDefault="00700F34" w:rsidP="00700F34">
            <w:pPr>
              <w:pStyle w:val="BodyTextIndent2"/>
              <w:spacing w:after="0" w:line="240" w:lineRule="auto"/>
              <w:ind w:left="0"/>
            </w:pPr>
            <w:r>
              <w:t xml:space="preserve">Separate Attachment found on the website where the RFP is posted. </w:t>
            </w:r>
          </w:p>
        </w:tc>
      </w:tr>
    </w:tbl>
    <w:p w14:paraId="3ADA6C64" w14:textId="77777777" w:rsidR="00B6503C" w:rsidRDefault="00B6503C" w:rsidP="00147980">
      <w:pPr>
        <w:pStyle w:val="BodyTextIndent2"/>
        <w:spacing w:after="0"/>
        <w:rPr>
          <w:color w:val="000000"/>
        </w:rPr>
      </w:pPr>
    </w:p>
    <w:p w14:paraId="047C07DB" w14:textId="4C915E6C" w:rsidR="002E7965" w:rsidRPr="00C40313" w:rsidRDefault="002E7965" w:rsidP="002E7965">
      <w:pPr>
        <w:widowControl w:val="0"/>
        <w:ind w:left="1440"/>
        <w:rPr>
          <w:bCs/>
        </w:rPr>
      </w:pPr>
    </w:p>
    <w:p w14:paraId="20918B6E" w14:textId="77777777" w:rsidR="009102FB" w:rsidRDefault="009102FB" w:rsidP="002E7965">
      <w:pPr>
        <w:widowControl w:val="0"/>
        <w:ind w:left="1440"/>
        <w:rPr>
          <w:bCs/>
        </w:rPr>
      </w:pPr>
    </w:p>
    <w:p w14:paraId="254615A8" w14:textId="7D37BE99" w:rsidR="003E565D" w:rsidRPr="00C40313" w:rsidRDefault="003D36DB" w:rsidP="00173CFE">
      <w:pPr>
        <w:keepNext/>
        <w:ind w:left="720" w:hanging="720"/>
        <w:rPr>
          <w:bCs/>
        </w:rPr>
      </w:pPr>
      <w:r>
        <w:rPr>
          <w:b/>
          <w:bCs/>
        </w:rPr>
        <w:t>6</w:t>
      </w:r>
      <w:r w:rsidR="00173CFE" w:rsidRPr="000A26F5">
        <w:rPr>
          <w:b/>
          <w:bCs/>
        </w:rPr>
        <w:t>.0</w:t>
      </w:r>
      <w:r w:rsidR="00173CFE" w:rsidRPr="00C40313">
        <w:rPr>
          <w:bCs/>
        </w:rPr>
        <w:tab/>
      </w:r>
      <w:r w:rsidR="003E565D" w:rsidRPr="000A26F5">
        <w:rPr>
          <w:b/>
          <w:bCs/>
        </w:rPr>
        <w:t>PAYMENT INFORMATION</w:t>
      </w:r>
    </w:p>
    <w:p w14:paraId="57C44FED" w14:textId="3825A4E5" w:rsidR="00A40E8E" w:rsidRPr="00C40313" w:rsidRDefault="00A40E8E" w:rsidP="00173CFE">
      <w:pPr>
        <w:keepNext/>
        <w:ind w:left="720" w:hanging="720"/>
        <w:rPr>
          <w:bCs/>
        </w:rPr>
      </w:pPr>
    </w:p>
    <w:p w14:paraId="1733BC1C" w14:textId="7427D930" w:rsidR="00A40E8E" w:rsidRPr="00700F34" w:rsidRDefault="00A40E8E" w:rsidP="00A40508">
      <w:pPr>
        <w:pStyle w:val="ListParagraph"/>
        <w:keepNext/>
        <w:numPr>
          <w:ilvl w:val="0"/>
          <w:numId w:val="28"/>
        </w:numPr>
        <w:ind w:left="1350" w:hanging="630"/>
        <w:rPr>
          <w:bCs/>
        </w:rPr>
      </w:pPr>
      <w:r w:rsidRPr="00700F34">
        <w:rPr>
          <w:bCs/>
        </w:rPr>
        <w:t xml:space="preserve">An invoice for the Court shall be generated at the beginning of each month for services performed during the previous month. </w:t>
      </w:r>
      <w:r w:rsidR="002C16EA">
        <w:rPr>
          <w:bCs/>
        </w:rPr>
        <w:t>The Contractor</w:t>
      </w:r>
      <w:r w:rsidR="00161C8D" w:rsidRPr="00700F34">
        <w:rPr>
          <w:bCs/>
        </w:rPr>
        <w:t xml:space="preserve"> </w:t>
      </w:r>
      <w:r w:rsidRPr="00700F34">
        <w:rPr>
          <w:bCs/>
        </w:rPr>
        <w:t>shall submit one original invoice for payment for services rendered under this Agreement for approval by the Court. Preference will be given to vendors able to send their invoice electronically</w:t>
      </w:r>
      <w:r w:rsidR="00CB7487" w:rsidRPr="00700F34">
        <w:rPr>
          <w:bCs/>
        </w:rPr>
        <w:t xml:space="preserve"> via email to the Court. </w:t>
      </w:r>
    </w:p>
    <w:p w14:paraId="632D45EF" w14:textId="550640D6" w:rsidR="00CB7487" w:rsidRPr="00C40313" w:rsidRDefault="00CB7487" w:rsidP="00173CFE">
      <w:pPr>
        <w:keepNext/>
        <w:ind w:left="720" w:hanging="720"/>
        <w:rPr>
          <w:bCs/>
        </w:rPr>
      </w:pPr>
    </w:p>
    <w:p w14:paraId="6BF22A4E" w14:textId="57F776A2" w:rsidR="00CB7487" w:rsidRPr="00C40313" w:rsidRDefault="00CB7487" w:rsidP="00A40508">
      <w:pPr>
        <w:pStyle w:val="ListParagraph"/>
        <w:keepNext/>
        <w:numPr>
          <w:ilvl w:val="0"/>
          <w:numId w:val="28"/>
        </w:numPr>
        <w:ind w:left="1350" w:hanging="630"/>
        <w:rPr>
          <w:bCs/>
        </w:rPr>
      </w:pPr>
      <w:r w:rsidRPr="00C40313">
        <w:rPr>
          <w:bCs/>
        </w:rPr>
        <w:t xml:space="preserve">Court will not pay or reimburse the </w:t>
      </w:r>
      <w:r w:rsidR="002C16EA">
        <w:rPr>
          <w:bCs/>
        </w:rPr>
        <w:t>Contractor</w:t>
      </w:r>
      <w:r w:rsidRPr="00C40313">
        <w:rPr>
          <w:bCs/>
        </w:rPr>
        <w:t xml:space="preserve">, or their employees for travel, or any other related expenses that are required as part of the </w:t>
      </w:r>
      <w:r w:rsidR="006A278D" w:rsidRPr="002E6E9D">
        <w:rPr>
          <w:bCs/>
        </w:rPr>
        <w:t>Project</w:t>
      </w:r>
      <w:r w:rsidRPr="00C40313">
        <w:rPr>
          <w:bCs/>
        </w:rPr>
        <w:t xml:space="preserve">. </w:t>
      </w:r>
    </w:p>
    <w:p w14:paraId="4305C3BB" w14:textId="1E97B356" w:rsidR="00CB7487" w:rsidRPr="00C40313" w:rsidRDefault="00CB7487" w:rsidP="00173CFE">
      <w:pPr>
        <w:keepNext/>
        <w:ind w:left="720" w:hanging="720"/>
        <w:rPr>
          <w:bCs/>
        </w:rPr>
      </w:pPr>
    </w:p>
    <w:p w14:paraId="3CC79B2C" w14:textId="3B664881" w:rsidR="00CB7487" w:rsidRPr="00C40313" w:rsidRDefault="00CB7487" w:rsidP="00A40508">
      <w:pPr>
        <w:pStyle w:val="ListParagraph"/>
        <w:keepNext/>
        <w:numPr>
          <w:ilvl w:val="0"/>
          <w:numId w:val="28"/>
        </w:numPr>
        <w:ind w:left="1350" w:hanging="630"/>
        <w:rPr>
          <w:bCs/>
        </w:rPr>
      </w:pPr>
      <w:r w:rsidRPr="00C40313">
        <w:rPr>
          <w:bCs/>
        </w:rPr>
        <w:t xml:space="preserve">Any requests outside of the </w:t>
      </w:r>
      <w:r w:rsidR="006A278D" w:rsidRPr="002E6E9D">
        <w:rPr>
          <w:bCs/>
        </w:rPr>
        <w:t>Project</w:t>
      </w:r>
      <w:r w:rsidRPr="00C40313">
        <w:rPr>
          <w:bCs/>
        </w:rPr>
        <w:t xml:space="preserve"> will be considered a separate purchase order outside the Contract purchase order and will be processed on a separate purchase order. </w:t>
      </w:r>
    </w:p>
    <w:p w14:paraId="397D9D04" w14:textId="4AAF83BA" w:rsidR="00CB7487" w:rsidRPr="00C40313" w:rsidRDefault="00CB7487" w:rsidP="00173CFE">
      <w:pPr>
        <w:keepNext/>
        <w:ind w:left="720" w:hanging="720"/>
        <w:rPr>
          <w:bCs/>
        </w:rPr>
      </w:pPr>
    </w:p>
    <w:p w14:paraId="4A5D58A7" w14:textId="5626329F" w:rsidR="00CB7487" w:rsidRPr="00C40313" w:rsidRDefault="002C16EA" w:rsidP="00A40508">
      <w:pPr>
        <w:pStyle w:val="ListParagraph"/>
        <w:keepNext/>
        <w:numPr>
          <w:ilvl w:val="0"/>
          <w:numId w:val="28"/>
        </w:numPr>
        <w:ind w:left="1350" w:hanging="630"/>
        <w:rPr>
          <w:bCs/>
        </w:rPr>
      </w:pPr>
      <w:r>
        <w:rPr>
          <w:bCs/>
        </w:rPr>
        <w:t>The Contractor</w:t>
      </w:r>
      <w:r w:rsidR="00161C8D" w:rsidRPr="00C40313">
        <w:rPr>
          <w:bCs/>
        </w:rPr>
        <w:t xml:space="preserve"> </w:t>
      </w:r>
      <w:r w:rsidR="00CB7487" w:rsidRPr="00C40313">
        <w:rPr>
          <w:bCs/>
        </w:rPr>
        <w:t xml:space="preserve">must provide written notice to Court of the specific excess charge and obtain Court’s consent prior to performing any additional service that would incur an excess charge. </w:t>
      </w:r>
    </w:p>
    <w:p w14:paraId="57655FFD" w14:textId="78C66AE5" w:rsidR="00CB7487" w:rsidRPr="00C40313" w:rsidRDefault="00CB7487" w:rsidP="00173CFE">
      <w:pPr>
        <w:keepNext/>
        <w:ind w:left="720" w:hanging="720"/>
        <w:rPr>
          <w:bCs/>
        </w:rPr>
      </w:pPr>
    </w:p>
    <w:p w14:paraId="6EFFC1EF" w14:textId="1831EAF3" w:rsidR="00CB7487" w:rsidRPr="00C40313" w:rsidRDefault="00CB7487" w:rsidP="00A40508">
      <w:pPr>
        <w:pStyle w:val="ListParagraph"/>
        <w:keepNext/>
        <w:numPr>
          <w:ilvl w:val="0"/>
          <w:numId w:val="28"/>
        </w:numPr>
        <w:ind w:left="1350" w:hanging="630"/>
        <w:rPr>
          <w:bCs/>
        </w:rPr>
      </w:pPr>
      <w:r w:rsidRPr="00C40313">
        <w:rPr>
          <w:bCs/>
        </w:rPr>
        <w:t xml:space="preserve">Each monthly billing statement should contain the latest contact phone number to correct or update billing information. </w:t>
      </w:r>
    </w:p>
    <w:p w14:paraId="673C1CDB" w14:textId="785EA4A8" w:rsidR="00CB7487" w:rsidRPr="00C40313" w:rsidRDefault="00CB7487" w:rsidP="00173CFE">
      <w:pPr>
        <w:keepNext/>
        <w:ind w:left="720" w:hanging="720"/>
        <w:rPr>
          <w:bCs/>
        </w:rPr>
      </w:pPr>
    </w:p>
    <w:p w14:paraId="61DFC667" w14:textId="4E0F24D9" w:rsidR="00CB7487" w:rsidRPr="00C40313" w:rsidRDefault="00CB7487" w:rsidP="00A40508">
      <w:pPr>
        <w:pStyle w:val="ListParagraph"/>
        <w:keepNext/>
        <w:numPr>
          <w:ilvl w:val="0"/>
          <w:numId w:val="28"/>
        </w:numPr>
        <w:ind w:left="1350" w:hanging="630"/>
        <w:rPr>
          <w:bCs/>
        </w:rPr>
      </w:pPr>
      <w:r w:rsidRPr="00C40313">
        <w:rPr>
          <w:bCs/>
        </w:rPr>
        <w:t xml:space="preserve">Payment terms will be specified in the Contract document that will be executed as a result of an award made under this RFP, however, Prospective Bidders are hereby advised that the Court payments are made by the state of California, and the State does not make any advance payment for services. Payment will be made based upon completion of tasks as provided for in the Agreement between the Court and the selected Service Provider. </w:t>
      </w:r>
    </w:p>
    <w:p w14:paraId="0CB9913F" w14:textId="77777777" w:rsidR="003E565D" w:rsidRDefault="003E565D" w:rsidP="00173CFE">
      <w:pPr>
        <w:keepNext/>
        <w:ind w:left="720" w:hanging="720"/>
        <w:rPr>
          <w:b/>
          <w:bCs/>
        </w:rPr>
      </w:pPr>
    </w:p>
    <w:p w14:paraId="18013CBC" w14:textId="77777777" w:rsidR="006B58BD" w:rsidRPr="00C40313" w:rsidRDefault="006B58BD" w:rsidP="00C40313">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color w:val="FF0000"/>
          <w:spacing w:val="-3"/>
        </w:rPr>
      </w:pPr>
    </w:p>
    <w:p w14:paraId="0283A63B" w14:textId="360577FE" w:rsidR="00173CFE" w:rsidRDefault="003D36DB" w:rsidP="00173CFE">
      <w:pPr>
        <w:keepNext/>
        <w:ind w:left="720" w:hanging="720"/>
        <w:rPr>
          <w:b/>
          <w:bCs/>
        </w:rPr>
      </w:pPr>
      <w:r>
        <w:rPr>
          <w:b/>
          <w:bCs/>
        </w:rPr>
        <w:t>7</w:t>
      </w:r>
      <w:r w:rsidR="003E565D">
        <w:rPr>
          <w:b/>
          <w:bCs/>
        </w:rPr>
        <w:t>.0</w:t>
      </w:r>
      <w:r w:rsidR="003E565D">
        <w:rPr>
          <w:b/>
          <w:bCs/>
        </w:rPr>
        <w:tab/>
      </w:r>
      <w:r w:rsidR="00173CFE" w:rsidRPr="00D613D4">
        <w:rPr>
          <w:rFonts w:ascii="Times New Roman Bold" w:hAnsi="Times New Roman Bold"/>
          <w:b/>
          <w:caps/>
          <w:color w:val="000000"/>
        </w:rPr>
        <w:t xml:space="preserve">Pre-proposal </w:t>
      </w:r>
      <w:r w:rsidR="0087062A">
        <w:rPr>
          <w:rFonts w:ascii="Times New Roman Bold" w:hAnsi="Times New Roman Bold"/>
          <w:b/>
          <w:caps/>
          <w:color w:val="000000"/>
        </w:rPr>
        <w:t>Site visit</w:t>
      </w:r>
    </w:p>
    <w:p w14:paraId="0F8CE62D" w14:textId="77777777" w:rsidR="00173CFE" w:rsidRDefault="00173CFE" w:rsidP="00173CFE">
      <w:pPr>
        <w:keepNext/>
        <w:ind w:left="720" w:hanging="720"/>
        <w:rPr>
          <w:b/>
          <w:bCs/>
        </w:rPr>
      </w:pPr>
    </w:p>
    <w:p w14:paraId="4CA25167" w14:textId="459FF028" w:rsidR="00173CFE" w:rsidRPr="003D36DB" w:rsidRDefault="0087062A" w:rsidP="00A40508">
      <w:pPr>
        <w:pStyle w:val="ListParagraph"/>
        <w:keepNext/>
        <w:numPr>
          <w:ilvl w:val="0"/>
          <w:numId w:val="29"/>
        </w:numPr>
        <w:ind w:left="1350" w:hanging="630"/>
        <w:rPr>
          <w:bCs/>
        </w:rPr>
      </w:pPr>
      <w:r w:rsidRPr="003D36DB">
        <w:rPr>
          <w:bCs/>
        </w:rPr>
        <w:t xml:space="preserve">Send Email of Intent to Attend the Pre-Proposal Site Visit: </w:t>
      </w:r>
    </w:p>
    <w:p w14:paraId="522FFA15" w14:textId="77777777" w:rsidR="0087062A" w:rsidRDefault="0087062A" w:rsidP="00C40313">
      <w:pPr>
        <w:keepNext/>
        <w:ind w:left="720" w:hanging="720"/>
        <w:rPr>
          <w:bCs/>
        </w:rPr>
      </w:pPr>
    </w:p>
    <w:p w14:paraId="602BD664" w14:textId="3CB85B20" w:rsidR="0087062A" w:rsidRPr="00A40508" w:rsidRDefault="002C16EA" w:rsidP="00A40508">
      <w:pPr>
        <w:pStyle w:val="ListParagraph"/>
        <w:keepNext/>
        <w:numPr>
          <w:ilvl w:val="0"/>
          <w:numId w:val="23"/>
        </w:numPr>
        <w:ind w:left="1800"/>
        <w:rPr>
          <w:bCs/>
        </w:rPr>
      </w:pPr>
      <w:r>
        <w:rPr>
          <w:bCs/>
        </w:rPr>
        <w:t>Contractor</w:t>
      </w:r>
      <w:r w:rsidR="0087062A">
        <w:rPr>
          <w:bCs/>
        </w:rPr>
        <w:t>s that intend to attend the pre-proposal site visit must notify th</w:t>
      </w:r>
      <w:r w:rsidR="00E8029D">
        <w:rPr>
          <w:bCs/>
        </w:rPr>
        <w:t>e Court by sending an email to btalmadge@alameda.courts.ca.gov</w:t>
      </w:r>
      <w:r>
        <w:rPr>
          <w:bCs/>
        </w:rPr>
        <w:t xml:space="preserve"> with the RFP number and Contractor name in the subject line. Contractor</w:t>
      </w:r>
      <w:r w:rsidR="0087062A">
        <w:rPr>
          <w:bCs/>
        </w:rPr>
        <w:t>’s Intent to Attend the pre-proposal site visit should include the name, address, telephone, fax number, and email address</w:t>
      </w:r>
      <w:r>
        <w:rPr>
          <w:bCs/>
        </w:rPr>
        <w:t xml:space="preserve"> and contact person for the Contractor</w:t>
      </w:r>
      <w:r w:rsidR="0087062A">
        <w:rPr>
          <w:bCs/>
        </w:rPr>
        <w:t>.</w:t>
      </w:r>
    </w:p>
    <w:p w14:paraId="5A0AB77D" w14:textId="06EFEDCA" w:rsidR="0087062A" w:rsidRDefault="0087062A" w:rsidP="0087062A">
      <w:pPr>
        <w:keepNext/>
        <w:rPr>
          <w:b/>
          <w:bCs/>
        </w:rPr>
      </w:pPr>
    </w:p>
    <w:p w14:paraId="3D820BCA" w14:textId="50F75CDD" w:rsidR="0087062A" w:rsidRPr="00A40508" w:rsidRDefault="0087062A" w:rsidP="00A40508">
      <w:pPr>
        <w:pStyle w:val="ListParagraph"/>
        <w:keepNext/>
        <w:numPr>
          <w:ilvl w:val="0"/>
          <w:numId w:val="23"/>
        </w:numPr>
        <w:ind w:left="1800"/>
        <w:rPr>
          <w:bCs/>
        </w:rPr>
      </w:pPr>
      <w:r>
        <w:rPr>
          <w:b/>
          <w:bCs/>
        </w:rPr>
        <w:t>Pre-Proposal Site Visit: Attendance of the Pre-Proposal Site Visit is MANDATORY. The Court will reject a proposal fro</w:t>
      </w:r>
      <w:r w:rsidR="002C16EA">
        <w:rPr>
          <w:b/>
          <w:bCs/>
        </w:rPr>
        <w:t>m any Contractor</w:t>
      </w:r>
      <w:r>
        <w:rPr>
          <w:b/>
          <w:bCs/>
        </w:rPr>
        <w:t xml:space="preserve"> who did not attend the Pr</w:t>
      </w:r>
      <w:r w:rsidR="002C16EA">
        <w:rPr>
          <w:b/>
          <w:bCs/>
        </w:rPr>
        <w:t>e-Proposal Site Visit. Each Contractor</w:t>
      </w:r>
      <w:r>
        <w:rPr>
          <w:b/>
          <w:bCs/>
        </w:rPr>
        <w:t xml:space="preserve"> must be certain to check in at the Pre-Proposal Site Visit, as the attendance list will be used to ascertain compliance with this requirement. </w:t>
      </w:r>
    </w:p>
    <w:p w14:paraId="5D44C90C" w14:textId="77777777" w:rsidR="0087062A" w:rsidRPr="0087062A" w:rsidRDefault="0087062A" w:rsidP="0087062A">
      <w:pPr>
        <w:pStyle w:val="ListParagraph"/>
        <w:rPr>
          <w:b/>
          <w:bCs/>
        </w:rPr>
      </w:pPr>
    </w:p>
    <w:p w14:paraId="1744FFBE" w14:textId="02CFF0BC" w:rsidR="00043262" w:rsidRDefault="0087062A" w:rsidP="00043262">
      <w:pPr>
        <w:pStyle w:val="ListParagraph"/>
        <w:keepNext/>
        <w:numPr>
          <w:ilvl w:val="0"/>
          <w:numId w:val="23"/>
        </w:numPr>
        <w:rPr>
          <w:b/>
          <w:bCs/>
        </w:rPr>
      </w:pPr>
      <w:r>
        <w:rPr>
          <w:b/>
          <w:bCs/>
        </w:rPr>
        <w:t xml:space="preserve">Pre-Proposal Site Visit Location(s): </w:t>
      </w:r>
    </w:p>
    <w:p w14:paraId="7E5308E0" w14:textId="4D4A9678" w:rsidR="00043262" w:rsidRDefault="00043262" w:rsidP="00043262">
      <w:pPr>
        <w:keepNext/>
        <w:ind w:left="2520"/>
        <w:rPr>
          <w:b/>
          <w:bCs/>
        </w:rPr>
      </w:pPr>
    </w:p>
    <w:p w14:paraId="417B4678" w14:textId="1168011B" w:rsidR="00043262" w:rsidRPr="00043262" w:rsidRDefault="00043262" w:rsidP="00043262">
      <w:pPr>
        <w:keepNext/>
        <w:ind w:left="2520"/>
        <w:rPr>
          <w:b/>
          <w:bCs/>
        </w:rPr>
      </w:pPr>
      <w:r>
        <w:rPr>
          <w:b/>
          <w:bCs/>
        </w:rPr>
        <w:t>Day 1:</w:t>
      </w:r>
    </w:p>
    <w:p w14:paraId="75BEF92F" w14:textId="2923AD58" w:rsidR="00EE1A43" w:rsidRDefault="00EE1A43" w:rsidP="00EE1A43">
      <w:pPr>
        <w:pStyle w:val="ListParagraph"/>
        <w:keepNext/>
        <w:numPr>
          <w:ilvl w:val="1"/>
          <w:numId w:val="23"/>
        </w:numPr>
        <w:rPr>
          <w:b/>
          <w:bCs/>
        </w:rPr>
      </w:pPr>
      <w:r>
        <w:rPr>
          <w:b/>
          <w:bCs/>
        </w:rPr>
        <w:t>Rene C. Davidson Courthouse</w:t>
      </w:r>
    </w:p>
    <w:p w14:paraId="58BDE3A1" w14:textId="255DF850" w:rsidR="00EE1A43" w:rsidRDefault="00EE1A43" w:rsidP="00EE1A43">
      <w:pPr>
        <w:pStyle w:val="ListParagraph"/>
        <w:keepNext/>
        <w:ind w:left="3240"/>
        <w:rPr>
          <w:b/>
          <w:bCs/>
        </w:rPr>
      </w:pPr>
      <w:r>
        <w:rPr>
          <w:b/>
          <w:bCs/>
        </w:rPr>
        <w:t xml:space="preserve">1225 Fallon St. </w:t>
      </w:r>
    </w:p>
    <w:p w14:paraId="210BD654" w14:textId="2B2D1A82" w:rsidR="00EE1A43" w:rsidRDefault="00EE1A43" w:rsidP="00EE1A43">
      <w:pPr>
        <w:pStyle w:val="ListParagraph"/>
        <w:keepNext/>
        <w:ind w:left="3240"/>
        <w:rPr>
          <w:b/>
          <w:bCs/>
        </w:rPr>
      </w:pPr>
      <w:r>
        <w:rPr>
          <w:b/>
          <w:bCs/>
        </w:rPr>
        <w:t>Oakland, CA 94612</w:t>
      </w:r>
    </w:p>
    <w:p w14:paraId="7C5EC544" w14:textId="77777777" w:rsidR="00EE1A43" w:rsidRDefault="00EE1A43" w:rsidP="00EE1A43">
      <w:pPr>
        <w:pStyle w:val="ListParagraph"/>
        <w:keepNext/>
        <w:ind w:left="3240"/>
        <w:rPr>
          <w:b/>
          <w:bCs/>
        </w:rPr>
      </w:pPr>
    </w:p>
    <w:p w14:paraId="5063A965" w14:textId="63FC01C6" w:rsidR="00EE1A43" w:rsidRDefault="00EE1A43" w:rsidP="00EE1A43">
      <w:pPr>
        <w:pStyle w:val="ListParagraph"/>
        <w:keepNext/>
        <w:numPr>
          <w:ilvl w:val="1"/>
          <w:numId w:val="23"/>
        </w:numPr>
        <w:rPr>
          <w:b/>
          <w:bCs/>
        </w:rPr>
      </w:pPr>
      <w:r>
        <w:rPr>
          <w:b/>
          <w:bCs/>
        </w:rPr>
        <w:t>Wiley W. Manuel Courthouse</w:t>
      </w:r>
    </w:p>
    <w:p w14:paraId="55DCEE62" w14:textId="0D41DAAB" w:rsidR="00EE1A43" w:rsidRDefault="00EE1A43" w:rsidP="00EE1A43">
      <w:pPr>
        <w:pStyle w:val="ListParagraph"/>
        <w:keepNext/>
        <w:ind w:left="3240"/>
        <w:rPr>
          <w:b/>
          <w:bCs/>
        </w:rPr>
      </w:pPr>
      <w:r>
        <w:rPr>
          <w:b/>
          <w:bCs/>
        </w:rPr>
        <w:t xml:space="preserve">661 Washington St. </w:t>
      </w:r>
    </w:p>
    <w:p w14:paraId="326E9D20" w14:textId="5BA3587E" w:rsidR="00EE1A43" w:rsidRDefault="00EE1A43" w:rsidP="00EE1A43">
      <w:pPr>
        <w:pStyle w:val="ListParagraph"/>
        <w:keepNext/>
        <w:ind w:left="3240"/>
        <w:rPr>
          <w:b/>
          <w:bCs/>
        </w:rPr>
      </w:pPr>
      <w:r>
        <w:rPr>
          <w:b/>
          <w:bCs/>
        </w:rPr>
        <w:t>Oakland, CA 94607</w:t>
      </w:r>
    </w:p>
    <w:p w14:paraId="2486B3EA" w14:textId="77777777" w:rsidR="00EE1A43" w:rsidRDefault="00EE1A43" w:rsidP="00EE1A43">
      <w:pPr>
        <w:pStyle w:val="ListParagraph"/>
        <w:keepNext/>
        <w:ind w:left="3240"/>
        <w:rPr>
          <w:b/>
          <w:bCs/>
        </w:rPr>
      </w:pPr>
    </w:p>
    <w:p w14:paraId="318BC4C9" w14:textId="2C05F959" w:rsidR="00EE1A43" w:rsidRDefault="00A47D50" w:rsidP="00EE1A43">
      <w:pPr>
        <w:pStyle w:val="ListParagraph"/>
        <w:keepNext/>
        <w:numPr>
          <w:ilvl w:val="1"/>
          <w:numId w:val="23"/>
        </w:numPr>
        <w:rPr>
          <w:b/>
          <w:bCs/>
        </w:rPr>
      </w:pPr>
      <w:r>
        <w:rPr>
          <w:b/>
          <w:bCs/>
        </w:rPr>
        <w:t>Administration Building</w:t>
      </w:r>
    </w:p>
    <w:p w14:paraId="7C3B9FC6" w14:textId="19EA006A" w:rsidR="00A47D50" w:rsidRDefault="00A47D50" w:rsidP="00A47D50">
      <w:pPr>
        <w:pStyle w:val="ListParagraph"/>
        <w:keepNext/>
        <w:ind w:left="3240"/>
        <w:rPr>
          <w:b/>
          <w:bCs/>
        </w:rPr>
      </w:pPr>
      <w:r>
        <w:rPr>
          <w:b/>
          <w:bCs/>
        </w:rPr>
        <w:t xml:space="preserve">1221 Oak St. </w:t>
      </w:r>
    </w:p>
    <w:p w14:paraId="25B4AD7C" w14:textId="34440CDC" w:rsidR="00BF2B51" w:rsidRPr="00BF2B51" w:rsidRDefault="00A47D50" w:rsidP="00BF2B51">
      <w:pPr>
        <w:pStyle w:val="ListParagraph"/>
        <w:keepNext/>
        <w:ind w:left="3240"/>
        <w:rPr>
          <w:b/>
          <w:bCs/>
        </w:rPr>
      </w:pPr>
      <w:r>
        <w:rPr>
          <w:b/>
          <w:bCs/>
        </w:rPr>
        <w:t>Oakland, CA 94612</w:t>
      </w:r>
    </w:p>
    <w:p w14:paraId="5BB79E5A" w14:textId="77777777" w:rsidR="00A47D50" w:rsidRDefault="00A47D50" w:rsidP="00A47D50">
      <w:pPr>
        <w:pStyle w:val="ListParagraph"/>
        <w:keepNext/>
        <w:ind w:left="3240"/>
        <w:rPr>
          <w:b/>
          <w:bCs/>
        </w:rPr>
      </w:pPr>
    </w:p>
    <w:p w14:paraId="3AA420AB" w14:textId="4B49D826" w:rsidR="00EE1A43" w:rsidRDefault="00EE1A43" w:rsidP="00EE1A43">
      <w:pPr>
        <w:pStyle w:val="ListParagraph"/>
        <w:keepNext/>
        <w:numPr>
          <w:ilvl w:val="1"/>
          <w:numId w:val="23"/>
        </w:numPr>
        <w:rPr>
          <w:b/>
          <w:bCs/>
        </w:rPr>
      </w:pPr>
      <w:r>
        <w:rPr>
          <w:b/>
          <w:bCs/>
        </w:rPr>
        <w:t>Berkeley Courthouse</w:t>
      </w:r>
    </w:p>
    <w:p w14:paraId="6AF5F5B4" w14:textId="700900D9" w:rsidR="00A47D50" w:rsidRDefault="00A47D50" w:rsidP="00A47D50">
      <w:pPr>
        <w:pStyle w:val="ListParagraph"/>
        <w:keepNext/>
        <w:ind w:left="3240"/>
        <w:rPr>
          <w:b/>
          <w:bCs/>
        </w:rPr>
      </w:pPr>
      <w:r>
        <w:rPr>
          <w:b/>
          <w:bCs/>
        </w:rPr>
        <w:t>2120 Martin Luther King Jr. Way</w:t>
      </w:r>
    </w:p>
    <w:p w14:paraId="02CA56F6" w14:textId="57765E43" w:rsidR="00A47D50" w:rsidRDefault="00A47D50" w:rsidP="00043262">
      <w:pPr>
        <w:pStyle w:val="ListParagraph"/>
        <w:keepNext/>
        <w:ind w:left="3240"/>
        <w:rPr>
          <w:b/>
          <w:bCs/>
        </w:rPr>
      </w:pPr>
      <w:r>
        <w:rPr>
          <w:b/>
          <w:bCs/>
        </w:rPr>
        <w:t>Berkeley, CA 94704</w:t>
      </w:r>
    </w:p>
    <w:p w14:paraId="730B193D" w14:textId="07FEC8FD" w:rsidR="00BF2B51" w:rsidRDefault="00BF2B51" w:rsidP="00043262">
      <w:pPr>
        <w:pStyle w:val="ListParagraph"/>
        <w:keepNext/>
        <w:ind w:left="3240"/>
        <w:rPr>
          <w:b/>
          <w:bCs/>
        </w:rPr>
      </w:pPr>
    </w:p>
    <w:p w14:paraId="5471392C" w14:textId="5EB598E4" w:rsidR="00BF2B51" w:rsidRDefault="00BF2B51" w:rsidP="00BF2B51">
      <w:pPr>
        <w:pStyle w:val="ListParagraph"/>
        <w:keepNext/>
        <w:numPr>
          <w:ilvl w:val="1"/>
          <w:numId w:val="23"/>
        </w:numPr>
        <w:rPr>
          <w:b/>
          <w:bCs/>
        </w:rPr>
      </w:pPr>
      <w:r>
        <w:rPr>
          <w:b/>
          <w:bCs/>
        </w:rPr>
        <w:t>George E. McDonald Hall of Justice</w:t>
      </w:r>
    </w:p>
    <w:p w14:paraId="77B74282" w14:textId="02DA54E3" w:rsidR="00BF2B51" w:rsidRDefault="00BF2B51" w:rsidP="00BF2B51">
      <w:pPr>
        <w:pStyle w:val="ListParagraph"/>
        <w:keepNext/>
        <w:ind w:left="3240"/>
        <w:rPr>
          <w:b/>
          <w:bCs/>
        </w:rPr>
      </w:pPr>
      <w:r>
        <w:rPr>
          <w:b/>
          <w:bCs/>
        </w:rPr>
        <w:t xml:space="preserve">2233 Shoreline Dr. </w:t>
      </w:r>
    </w:p>
    <w:p w14:paraId="0CF74B61" w14:textId="03B95709" w:rsidR="00BF2B51" w:rsidRDefault="00BF2B51" w:rsidP="00BF2B51">
      <w:pPr>
        <w:pStyle w:val="ListParagraph"/>
        <w:keepNext/>
        <w:ind w:left="3240"/>
        <w:rPr>
          <w:b/>
          <w:bCs/>
        </w:rPr>
      </w:pPr>
      <w:r>
        <w:rPr>
          <w:b/>
          <w:bCs/>
        </w:rPr>
        <w:t>Alameda, CA 94501</w:t>
      </w:r>
    </w:p>
    <w:p w14:paraId="7E2366AD" w14:textId="24B503DE" w:rsidR="00043262" w:rsidRDefault="00043262" w:rsidP="00043262">
      <w:pPr>
        <w:keepNext/>
        <w:rPr>
          <w:b/>
          <w:bCs/>
        </w:rPr>
      </w:pPr>
    </w:p>
    <w:p w14:paraId="65685945" w14:textId="6007A370" w:rsidR="00043262" w:rsidRPr="00043262" w:rsidRDefault="00043262" w:rsidP="00043262">
      <w:pPr>
        <w:keepNext/>
        <w:rPr>
          <w:b/>
          <w:bCs/>
        </w:rPr>
      </w:pPr>
      <w:r>
        <w:rPr>
          <w:b/>
          <w:bCs/>
        </w:rPr>
        <w:tab/>
      </w:r>
      <w:r>
        <w:rPr>
          <w:b/>
          <w:bCs/>
        </w:rPr>
        <w:tab/>
      </w:r>
      <w:r>
        <w:rPr>
          <w:b/>
          <w:bCs/>
        </w:rPr>
        <w:tab/>
        <w:t xml:space="preserve">      Day 2:</w:t>
      </w:r>
    </w:p>
    <w:p w14:paraId="3631518E" w14:textId="40DBF798" w:rsidR="00EE1A43" w:rsidRDefault="00EE1A43" w:rsidP="00EE1A43">
      <w:pPr>
        <w:pStyle w:val="ListParagraph"/>
        <w:keepNext/>
        <w:numPr>
          <w:ilvl w:val="1"/>
          <w:numId w:val="23"/>
        </w:numPr>
        <w:rPr>
          <w:b/>
          <w:bCs/>
        </w:rPr>
      </w:pPr>
      <w:r>
        <w:rPr>
          <w:b/>
          <w:bCs/>
        </w:rPr>
        <w:t>Fremont Hall of Justice</w:t>
      </w:r>
    </w:p>
    <w:p w14:paraId="51B6626D" w14:textId="164E3594" w:rsidR="00A47D50" w:rsidRDefault="00A47D50" w:rsidP="00A47D50">
      <w:pPr>
        <w:pStyle w:val="ListParagraph"/>
        <w:keepNext/>
        <w:ind w:left="3240"/>
        <w:rPr>
          <w:b/>
          <w:bCs/>
        </w:rPr>
      </w:pPr>
      <w:r>
        <w:rPr>
          <w:b/>
          <w:bCs/>
        </w:rPr>
        <w:t>39439 Paseo Padre Pkwy</w:t>
      </w:r>
    </w:p>
    <w:p w14:paraId="516A2859" w14:textId="03B00971" w:rsidR="00A47D50" w:rsidRDefault="00A47D50" w:rsidP="00A47D50">
      <w:pPr>
        <w:pStyle w:val="ListParagraph"/>
        <w:keepNext/>
        <w:ind w:left="3240"/>
        <w:rPr>
          <w:b/>
          <w:bCs/>
        </w:rPr>
      </w:pPr>
      <w:r>
        <w:rPr>
          <w:b/>
          <w:bCs/>
        </w:rPr>
        <w:t>Fremont, CA 94538</w:t>
      </w:r>
    </w:p>
    <w:p w14:paraId="1366F6D1" w14:textId="77777777" w:rsidR="00A47D50" w:rsidRDefault="00A47D50" w:rsidP="00A47D50">
      <w:pPr>
        <w:pStyle w:val="ListParagraph"/>
        <w:keepNext/>
        <w:ind w:left="3240"/>
        <w:rPr>
          <w:b/>
          <w:bCs/>
        </w:rPr>
      </w:pPr>
    </w:p>
    <w:p w14:paraId="77BE3A81" w14:textId="7619F0C1" w:rsidR="00EE1A43" w:rsidRDefault="00EE1A43" w:rsidP="00EE1A43">
      <w:pPr>
        <w:pStyle w:val="ListParagraph"/>
        <w:keepNext/>
        <w:numPr>
          <w:ilvl w:val="1"/>
          <w:numId w:val="23"/>
        </w:numPr>
        <w:rPr>
          <w:b/>
          <w:bCs/>
        </w:rPr>
      </w:pPr>
      <w:r>
        <w:rPr>
          <w:b/>
          <w:bCs/>
        </w:rPr>
        <w:t>Hayward Hall of Justice</w:t>
      </w:r>
    </w:p>
    <w:p w14:paraId="5C361F89" w14:textId="342145E0" w:rsidR="00A47D50" w:rsidRDefault="00A47D50" w:rsidP="00A47D50">
      <w:pPr>
        <w:pStyle w:val="ListParagraph"/>
        <w:keepNext/>
        <w:ind w:left="3240"/>
        <w:rPr>
          <w:b/>
          <w:bCs/>
        </w:rPr>
      </w:pPr>
      <w:r>
        <w:rPr>
          <w:b/>
          <w:bCs/>
        </w:rPr>
        <w:t xml:space="preserve">24405 Amador St. </w:t>
      </w:r>
    </w:p>
    <w:p w14:paraId="7B18EB2D" w14:textId="6EDA0302" w:rsidR="00A47D50" w:rsidRPr="00BF2B51" w:rsidRDefault="00A47D50" w:rsidP="00BF2B51">
      <w:pPr>
        <w:pStyle w:val="ListParagraph"/>
        <w:keepNext/>
        <w:ind w:left="3240"/>
        <w:rPr>
          <w:b/>
          <w:bCs/>
        </w:rPr>
      </w:pPr>
      <w:r>
        <w:rPr>
          <w:b/>
          <w:bCs/>
        </w:rPr>
        <w:t>Hayward, CA</w:t>
      </w:r>
      <w:r w:rsidR="0051287D">
        <w:rPr>
          <w:b/>
          <w:bCs/>
        </w:rPr>
        <w:t xml:space="preserve"> 94544</w:t>
      </w:r>
    </w:p>
    <w:p w14:paraId="668A73E0" w14:textId="77777777" w:rsidR="00A47D50" w:rsidRDefault="00A47D50" w:rsidP="00A47D50">
      <w:pPr>
        <w:pStyle w:val="ListParagraph"/>
        <w:keepNext/>
        <w:ind w:left="3240"/>
        <w:rPr>
          <w:b/>
          <w:bCs/>
        </w:rPr>
      </w:pPr>
    </w:p>
    <w:p w14:paraId="5DEEC8B7" w14:textId="02E4673E" w:rsidR="00EE1A43" w:rsidRDefault="00A47D50" w:rsidP="00EE1A43">
      <w:pPr>
        <w:pStyle w:val="ListParagraph"/>
        <w:keepNext/>
        <w:numPr>
          <w:ilvl w:val="1"/>
          <w:numId w:val="23"/>
        </w:numPr>
        <w:rPr>
          <w:b/>
          <w:bCs/>
        </w:rPr>
      </w:pPr>
      <w:r>
        <w:rPr>
          <w:b/>
          <w:bCs/>
        </w:rPr>
        <w:t>East County Hall of Justice</w:t>
      </w:r>
    </w:p>
    <w:p w14:paraId="0F5960C3" w14:textId="2EA96D95" w:rsidR="00A47D50" w:rsidRDefault="00A47D50" w:rsidP="00A47D50">
      <w:pPr>
        <w:pStyle w:val="ListParagraph"/>
        <w:keepNext/>
        <w:ind w:left="3240"/>
        <w:rPr>
          <w:b/>
          <w:bCs/>
        </w:rPr>
      </w:pPr>
      <w:r>
        <w:rPr>
          <w:b/>
          <w:bCs/>
        </w:rPr>
        <w:t xml:space="preserve">5151 Gleason Dr. </w:t>
      </w:r>
    </w:p>
    <w:p w14:paraId="34DDAE9E" w14:textId="3A6A698F" w:rsidR="00A47D50" w:rsidRDefault="00A47D50" w:rsidP="00A47D50">
      <w:pPr>
        <w:pStyle w:val="ListParagraph"/>
        <w:keepNext/>
        <w:ind w:left="3240"/>
        <w:rPr>
          <w:b/>
          <w:bCs/>
        </w:rPr>
      </w:pPr>
      <w:r>
        <w:rPr>
          <w:b/>
          <w:bCs/>
        </w:rPr>
        <w:t>Dublin, CA 94568</w:t>
      </w:r>
    </w:p>
    <w:p w14:paraId="1F605F61" w14:textId="77777777" w:rsidR="009940DA" w:rsidRDefault="009940DA" w:rsidP="00A47D50">
      <w:pPr>
        <w:pStyle w:val="ListParagraph"/>
        <w:keepNext/>
        <w:ind w:left="3240"/>
        <w:rPr>
          <w:b/>
          <w:bCs/>
        </w:rPr>
      </w:pPr>
    </w:p>
    <w:p w14:paraId="0C70E1E2" w14:textId="1D8B0191" w:rsidR="00EE1A43" w:rsidRDefault="00EE1A43" w:rsidP="00EE1A43">
      <w:pPr>
        <w:pStyle w:val="ListParagraph"/>
        <w:keepNext/>
        <w:numPr>
          <w:ilvl w:val="1"/>
          <w:numId w:val="23"/>
        </w:numPr>
        <w:rPr>
          <w:b/>
          <w:bCs/>
        </w:rPr>
      </w:pPr>
      <w:r>
        <w:rPr>
          <w:b/>
          <w:bCs/>
        </w:rPr>
        <w:t>Juvenile</w:t>
      </w:r>
      <w:r w:rsidR="009940DA">
        <w:rPr>
          <w:b/>
          <w:bCs/>
        </w:rPr>
        <w:t xml:space="preserve"> Justice Center</w:t>
      </w:r>
    </w:p>
    <w:p w14:paraId="78C7E141" w14:textId="09A8C8E0" w:rsidR="009940DA" w:rsidRDefault="009940DA" w:rsidP="009940DA">
      <w:pPr>
        <w:pStyle w:val="ListParagraph"/>
        <w:keepNext/>
        <w:ind w:left="3240"/>
        <w:rPr>
          <w:b/>
          <w:bCs/>
        </w:rPr>
      </w:pPr>
      <w:r>
        <w:rPr>
          <w:b/>
          <w:bCs/>
        </w:rPr>
        <w:t>2500 Fairmont Dr. C3013</w:t>
      </w:r>
    </w:p>
    <w:p w14:paraId="2C8C8BFC" w14:textId="1BB45449" w:rsidR="00EE1A43" w:rsidRPr="009940DA" w:rsidRDefault="009940DA" w:rsidP="009940DA">
      <w:pPr>
        <w:pStyle w:val="ListParagraph"/>
        <w:keepNext/>
        <w:ind w:left="3240"/>
        <w:rPr>
          <w:b/>
          <w:bCs/>
        </w:rPr>
      </w:pPr>
      <w:r>
        <w:rPr>
          <w:b/>
          <w:bCs/>
        </w:rPr>
        <w:t>San Leandro, CA 94578</w:t>
      </w:r>
    </w:p>
    <w:p w14:paraId="555C41AD" w14:textId="77777777" w:rsidR="00EE1A43" w:rsidRPr="00EE1A43" w:rsidRDefault="00EE1A43" w:rsidP="00EE1A43">
      <w:pPr>
        <w:pStyle w:val="ListParagraph"/>
        <w:keepNext/>
        <w:ind w:left="2520"/>
        <w:rPr>
          <w:b/>
          <w:bCs/>
        </w:rPr>
      </w:pPr>
    </w:p>
    <w:p w14:paraId="0A19A8A0" w14:textId="77777777" w:rsidR="00173CFE" w:rsidRDefault="00173CFE" w:rsidP="002C64BD">
      <w:pPr>
        <w:keepNext/>
        <w:ind w:left="720" w:hanging="720"/>
        <w:rPr>
          <w:b/>
          <w:bCs/>
        </w:rPr>
      </w:pPr>
    </w:p>
    <w:p w14:paraId="1566AB30" w14:textId="0E698A70" w:rsidR="002C64BD" w:rsidRDefault="000A26F5"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14633A48" w:rsidR="002C64BD" w:rsidRPr="005E0EE1" w:rsidRDefault="000A26F5" w:rsidP="002C64BD">
      <w:pPr>
        <w:ind w:left="1440" w:right="468" w:hanging="720"/>
        <w:rPr>
          <w:color w:val="000000"/>
        </w:rPr>
      </w:pPr>
      <w:r>
        <w:rPr>
          <w:color w:val="000000"/>
        </w:rPr>
        <w:t>8</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7403D12C" w:rsidR="006D02BE" w:rsidRDefault="000A26F5"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258256D7"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EB19EA">
        <w:rPr>
          <w:b/>
          <w:color w:val="000000"/>
        </w:rPr>
        <w:t>one and</w:t>
      </w:r>
      <w:r w:rsidR="00FF3766">
        <w:rPr>
          <w:b/>
          <w:color w:val="000000"/>
        </w:rPr>
        <w:t xml:space="preserve"> </w:t>
      </w:r>
      <w:r w:rsidR="00D55F3D">
        <w:rPr>
          <w:b/>
          <w:color w:val="000000"/>
        </w:rPr>
        <w:t xml:space="preserve">(1) electronic version </w:t>
      </w:r>
      <w:r w:rsidR="002C64BD" w:rsidRPr="005E0EE1">
        <w:rPr>
          <w:color w:val="000000"/>
        </w:rPr>
        <w:t xml:space="preserve">of the </w:t>
      </w:r>
      <w:r w:rsidR="002C64BD">
        <w:rPr>
          <w:color w:val="000000"/>
        </w:rPr>
        <w:t xml:space="preserve">technical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D55F3D">
        <w:rPr>
          <w:color w:val="000000"/>
        </w:rPr>
        <w:t xml:space="preserve"> </w:t>
      </w:r>
      <w:r w:rsidR="003A50E1">
        <w:rPr>
          <w:color w:val="000000"/>
        </w:rPr>
        <w:t>The original technical propos</w:t>
      </w:r>
      <w:r w:rsidR="003C69E1">
        <w:rPr>
          <w:color w:val="000000"/>
        </w:rPr>
        <w:t>al (and the copies thereof) can</w:t>
      </w:r>
      <w:r w:rsidR="003A50E1">
        <w:rPr>
          <w:color w:val="000000"/>
        </w:rPr>
        <w:t xml:space="preserve"> be submitted to the </w:t>
      </w:r>
      <w:r w:rsidR="0050172F">
        <w:rPr>
          <w:color w:val="000000"/>
        </w:rPr>
        <w:t>Court</w:t>
      </w:r>
      <w:r w:rsidR="003A50E1">
        <w:rPr>
          <w:color w:val="000000"/>
        </w:rPr>
        <w:t xml:space="preserve"> in a single sealed envelope, </w:t>
      </w:r>
      <w:r w:rsidR="003C69E1">
        <w:rPr>
          <w:color w:val="000000"/>
        </w:rPr>
        <w:t>or the proposal may be emailed</w:t>
      </w:r>
      <w:r w:rsidR="00C01270">
        <w:rPr>
          <w:color w:val="000000"/>
        </w:rPr>
        <w:t xml:space="preserve">, </w:t>
      </w:r>
      <w:r w:rsidR="003A50E1">
        <w:rPr>
          <w:color w:val="000000"/>
        </w:rPr>
        <w:t xml:space="preserve">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w:t>
      </w:r>
      <w:r w:rsidR="003C69E1">
        <w:rPr>
          <w:color w:val="000000"/>
        </w:rPr>
        <w:t xml:space="preserve"> outside of the sealed envelope, or in the title of the email. </w:t>
      </w:r>
    </w:p>
    <w:p w14:paraId="02E4B4BB" w14:textId="77777777" w:rsidR="006D02BE" w:rsidRDefault="006D02BE" w:rsidP="006D02BE">
      <w:pPr>
        <w:ind w:left="2250" w:right="468" w:hanging="720"/>
        <w:rPr>
          <w:color w:val="000000"/>
        </w:rPr>
      </w:pPr>
    </w:p>
    <w:p w14:paraId="1AF62475" w14:textId="00BE973E"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D55F3D">
        <w:rPr>
          <w:b/>
          <w:color w:val="000000"/>
        </w:rPr>
        <w:t xml:space="preserve">one (1) electronic version </w:t>
      </w:r>
      <w:r w:rsidRPr="005E0EE1">
        <w:rPr>
          <w:color w:val="000000"/>
        </w:rPr>
        <w:t xml:space="preserve">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D55F3D">
        <w:rPr>
          <w:color w:val="000000"/>
        </w:rPr>
        <w:t xml:space="preserve"> </w:t>
      </w:r>
      <w:r>
        <w:rPr>
          <w:color w:val="000000"/>
        </w:rPr>
        <w:t xml:space="preserve">The original cost proposal (and the copies thereof) must be submitted to the </w:t>
      </w:r>
      <w:r w:rsidR="0050172F">
        <w:rPr>
          <w:color w:val="000000"/>
        </w:rPr>
        <w:t>Court</w:t>
      </w:r>
      <w:r>
        <w:rPr>
          <w:color w:val="000000"/>
        </w:rPr>
        <w:t xml:space="preserve"> in a single sealed envelope,</w:t>
      </w:r>
      <w:r w:rsidR="00C01270">
        <w:rPr>
          <w:color w:val="000000"/>
        </w:rPr>
        <w:t xml:space="preserve"> or the proposal may be emailed,</w:t>
      </w:r>
      <w:r>
        <w:rPr>
          <w:color w:val="000000"/>
        </w:rPr>
        <w:t xml:space="preserve"> 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w:t>
      </w:r>
      <w:r w:rsidR="00C01270">
        <w:rPr>
          <w:color w:val="000000"/>
        </w:rPr>
        <w:t xml:space="preserve"> outside of the sealed envelope, or in the title of the email. </w:t>
      </w:r>
    </w:p>
    <w:p w14:paraId="6FE14AA9" w14:textId="77777777" w:rsidR="000D5FD6" w:rsidRDefault="000D5FD6" w:rsidP="006D02BE">
      <w:pPr>
        <w:ind w:left="2250" w:right="468" w:hanging="720"/>
        <w:rPr>
          <w:color w:val="000000"/>
        </w:rPr>
      </w:pPr>
    </w:p>
    <w:p w14:paraId="30FA220B" w14:textId="67AA3350"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w:t>
      </w:r>
      <w:r w:rsidRPr="00837DE4">
        <w:rPr>
          <w:b/>
          <w:color w:val="000000"/>
        </w:rPr>
        <w:t>electronic version</w:t>
      </w:r>
      <w:r w:rsidRPr="005E0EE1">
        <w:rPr>
          <w:color w:val="000000"/>
        </w:rPr>
        <w:t xml:space="preserve"> of the </w:t>
      </w:r>
      <w:r w:rsidRPr="00837DE4">
        <w:rPr>
          <w:b/>
          <w:color w:val="000000"/>
        </w:rPr>
        <w:t>entire</w:t>
      </w:r>
      <w:r w:rsidRPr="005E0EE1">
        <w:rPr>
          <w:color w:val="000000"/>
        </w:rPr>
        <w:t xml:space="preserve"> proposal on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r w:rsidR="009B30C6">
        <w:rPr>
          <w:color w:val="000000"/>
        </w:rPr>
        <w:t xml:space="preserve"> Please use the following naming conventions for electronic files: </w:t>
      </w:r>
    </w:p>
    <w:p w14:paraId="37A51C8D" w14:textId="2B42562D" w:rsidR="009B30C6" w:rsidRDefault="009B30C6" w:rsidP="006D02BE">
      <w:pPr>
        <w:ind w:left="2250" w:right="468" w:hanging="720"/>
      </w:pPr>
    </w:p>
    <w:p w14:paraId="2AF0B4D8" w14:textId="6A718C58" w:rsidR="009B30C6" w:rsidRDefault="000A18ED" w:rsidP="006D02BE">
      <w:pPr>
        <w:ind w:left="2250" w:right="468" w:hanging="720"/>
      </w:pPr>
      <w:r>
        <w:tab/>
        <w:t>Name of Company RFP SC 1806.2020.2</w:t>
      </w: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05088FDD" w:rsidR="003E5035" w:rsidRDefault="000A26F5" w:rsidP="002C64BD">
      <w:pPr>
        <w:ind w:left="1440" w:right="468" w:hanging="720"/>
        <w:rPr>
          <w:color w:val="000000"/>
        </w:rPr>
      </w:pPr>
      <w:r>
        <w:rPr>
          <w:color w:val="000000"/>
        </w:rPr>
        <w:t>8</w:t>
      </w:r>
      <w:r w:rsidR="002C64BD" w:rsidRPr="005E0EE1">
        <w:rPr>
          <w:color w:val="000000"/>
        </w:rPr>
        <w:t>.3</w:t>
      </w:r>
      <w:r w:rsidR="002C64BD" w:rsidRPr="005E0EE1">
        <w:rPr>
          <w:color w:val="000000"/>
        </w:rPr>
        <w:tab/>
      </w:r>
      <w:r w:rsidR="002C64BD" w:rsidRPr="00837DE4">
        <w:rPr>
          <w:b/>
          <w:color w:val="000000"/>
        </w:rPr>
        <w:t xml:space="preserve">Proposals must be </w:t>
      </w:r>
      <w:r w:rsidR="00FF3766">
        <w:rPr>
          <w:b/>
          <w:color w:val="000000"/>
        </w:rPr>
        <w:t>received</w:t>
      </w:r>
      <w:r w:rsidR="00FF3766">
        <w:rPr>
          <w:color w:val="000000"/>
        </w:rPr>
        <w:t xml:space="preserve"> </w:t>
      </w:r>
      <w:r w:rsidR="002C64BD">
        <w:rPr>
          <w:color w:val="000000"/>
        </w:rPr>
        <w:t xml:space="preserve">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6467ACB4" w14:textId="3546DDCB" w:rsidR="002C3530" w:rsidRDefault="009B30C6" w:rsidP="002C3530">
      <w:pPr>
        <w:ind w:left="1440" w:right="468"/>
        <w:rPr>
          <w:color w:val="000000"/>
        </w:rPr>
      </w:pPr>
      <w:r>
        <w:rPr>
          <w:color w:val="000000"/>
        </w:rPr>
        <w:t>Superior Court of California, County of Alameda</w:t>
      </w:r>
    </w:p>
    <w:p w14:paraId="051BE624" w14:textId="4B2CE41A" w:rsidR="009B30C6" w:rsidRDefault="009B30C6" w:rsidP="002C3530">
      <w:pPr>
        <w:ind w:left="1440" w:right="468"/>
        <w:rPr>
          <w:color w:val="000000"/>
        </w:rPr>
      </w:pPr>
      <w:r>
        <w:rPr>
          <w:color w:val="000000"/>
        </w:rPr>
        <w:t>Attention: Procurement</w:t>
      </w:r>
      <w:r w:rsidR="00B2110A">
        <w:rPr>
          <w:color w:val="000000"/>
        </w:rPr>
        <w:t>, RFP SC 1806.2020.2</w:t>
      </w:r>
    </w:p>
    <w:p w14:paraId="1BE14DC3" w14:textId="6892A602" w:rsidR="00FD69D9" w:rsidRDefault="00FD69D9" w:rsidP="002C3530">
      <w:pPr>
        <w:ind w:left="1440" w:right="468"/>
        <w:rPr>
          <w:color w:val="000000"/>
        </w:rPr>
      </w:pPr>
      <w:r>
        <w:rPr>
          <w:color w:val="000000"/>
        </w:rPr>
        <w:t>1225 Fallon Street, Room 210</w:t>
      </w:r>
    </w:p>
    <w:p w14:paraId="5CF7923C" w14:textId="2ABCD6C1" w:rsidR="00FD69D9" w:rsidRDefault="00FD69D9" w:rsidP="002C3530">
      <w:pPr>
        <w:ind w:left="1440" w:right="468"/>
        <w:rPr>
          <w:color w:val="000000"/>
        </w:rPr>
      </w:pPr>
      <w:r>
        <w:rPr>
          <w:color w:val="000000"/>
        </w:rPr>
        <w:t>Oakland, CA 94612</w:t>
      </w:r>
    </w:p>
    <w:p w14:paraId="29876A8E" w14:textId="4B0F90A8" w:rsidR="00C01270" w:rsidRDefault="00C01270" w:rsidP="002C3530">
      <w:pPr>
        <w:ind w:left="1440" w:right="468"/>
        <w:rPr>
          <w:color w:val="000000"/>
        </w:rPr>
      </w:pPr>
    </w:p>
    <w:p w14:paraId="2F2D4EAB" w14:textId="23CD175C" w:rsidR="00C01270" w:rsidRDefault="00F41FF7" w:rsidP="002C3530">
      <w:pPr>
        <w:ind w:left="1440" w:right="468"/>
        <w:rPr>
          <w:color w:val="000000"/>
        </w:rPr>
      </w:pPr>
      <w:r>
        <w:rPr>
          <w:color w:val="000000"/>
        </w:rPr>
        <w:t>Or email Proposal to:</w:t>
      </w:r>
      <w:r w:rsidR="00BD2B5F">
        <w:rPr>
          <w:color w:val="000000"/>
        </w:rPr>
        <w:t xml:space="preserve"> </w:t>
      </w:r>
      <w:hyperlink r:id="rId13" w:history="1">
        <w:r w:rsidR="00700F34" w:rsidRPr="008413FA">
          <w:rPr>
            <w:rStyle w:val="Hyperlink"/>
          </w:rPr>
          <w:t>bidquestions@alameda.courts.ca.gov</w:t>
        </w:r>
      </w:hyperlink>
    </w:p>
    <w:p w14:paraId="785967CE" w14:textId="77777777" w:rsidR="002C64BD" w:rsidRPr="00E46BDC" w:rsidRDefault="002C64BD" w:rsidP="002C64BD">
      <w:pPr>
        <w:ind w:left="1440" w:hanging="720"/>
        <w:rPr>
          <w:color w:val="000000"/>
          <w:sz w:val="20"/>
          <w:szCs w:val="20"/>
        </w:rPr>
      </w:pPr>
    </w:p>
    <w:p w14:paraId="18F031B0" w14:textId="7509B81A" w:rsidR="001E612A" w:rsidRDefault="000A26F5" w:rsidP="006A400E">
      <w:pPr>
        <w:pStyle w:val="BodyTextIndent"/>
        <w:spacing w:after="0"/>
        <w:ind w:left="1440" w:right="460" w:hanging="720"/>
        <w:rPr>
          <w:color w:val="000000"/>
        </w:rPr>
      </w:pPr>
      <w:r>
        <w:rPr>
          <w:color w:val="000000"/>
        </w:rPr>
        <w:t>8</w:t>
      </w:r>
      <w:r w:rsidR="002C64BD" w:rsidRPr="005E0EE1">
        <w:rPr>
          <w:color w:val="000000"/>
        </w:rPr>
        <w:t>.4</w:t>
      </w:r>
      <w:r w:rsidR="002C64BD" w:rsidRPr="005E0EE1">
        <w:rPr>
          <w:color w:val="000000"/>
        </w:rPr>
        <w:tab/>
      </w:r>
      <w:r w:rsidR="001E612A" w:rsidRPr="001E612A">
        <w:rPr>
          <w:color w:val="000000"/>
        </w:rPr>
        <w:t>Late proposals will not be accepted.</w:t>
      </w:r>
      <w:r w:rsidR="00FD69D9">
        <w:rPr>
          <w:color w:val="000000"/>
        </w:rPr>
        <w:t xml:space="preserve"> Any submittals received after the deadline will be rejected without review. </w:t>
      </w:r>
      <w:r w:rsidR="00EB19EA">
        <w:rPr>
          <w:color w:val="000000"/>
        </w:rPr>
        <w:t>Emailed propos</w:t>
      </w:r>
      <w:r w:rsidR="00B25856">
        <w:rPr>
          <w:color w:val="000000"/>
        </w:rPr>
        <w:t>als must be time stamped as received</w:t>
      </w:r>
      <w:r w:rsidR="00EB19EA">
        <w:rPr>
          <w:color w:val="000000"/>
        </w:rPr>
        <w:t xml:space="preserve"> before May 21, 2020</w:t>
      </w:r>
      <w:r w:rsidR="00B25856">
        <w:rPr>
          <w:color w:val="000000"/>
        </w:rPr>
        <w:t xml:space="preserve">, no later than 3:00 PM Pacific Time, or the emailed proposal will be considered late and rejected without review. </w:t>
      </w:r>
    </w:p>
    <w:p w14:paraId="1CD29C4B" w14:textId="1C538F24" w:rsidR="00FD69D9" w:rsidRDefault="00FD69D9" w:rsidP="002C64BD">
      <w:pPr>
        <w:pStyle w:val="BodyTextIndent"/>
        <w:spacing w:after="0"/>
        <w:ind w:left="1440" w:right="460" w:hanging="720"/>
        <w:rPr>
          <w:color w:val="000000"/>
        </w:rPr>
      </w:pPr>
    </w:p>
    <w:p w14:paraId="4CA72494" w14:textId="52AE8BC7" w:rsidR="00FD69D9" w:rsidRDefault="000A26F5" w:rsidP="002C64BD">
      <w:pPr>
        <w:pStyle w:val="BodyTextIndent"/>
        <w:spacing w:after="0"/>
        <w:ind w:left="1440" w:right="460" w:hanging="720"/>
        <w:rPr>
          <w:color w:val="000000"/>
        </w:rPr>
      </w:pPr>
      <w:r>
        <w:rPr>
          <w:color w:val="000000"/>
        </w:rPr>
        <w:t>8</w:t>
      </w:r>
      <w:r w:rsidR="00FD69D9">
        <w:rPr>
          <w:color w:val="000000"/>
        </w:rPr>
        <w:t>.5</w:t>
      </w:r>
      <w:r w:rsidR="00FD69D9">
        <w:rPr>
          <w:color w:val="000000"/>
        </w:rPr>
        <w:tab/>
        <w:t xml:space="preserve">Incomplete submittals may be rejected without review. </w:t>
      </w:r>
    </w:p>
    <w:p w14:paraId="51AEFD7C" w14:textId="77777777" w:rsidR="001E612A" w:rsidRDefault="001E612A" w:rsidP="002C64BD">
      <w:pPr>
        <w:pStyle w:val="BodyTextIndent"/>
        <w:spacing w:after="0"/>
        <w:ind w:left="1440" w:right="460" w:hanging="720"/>
        <w:rPr>
          <w:color w:val="000000"/>
        </w:rPr>
      </w:pPr>
    </w:p>
    <w:p w14:paraId="413F6200" w14:textId="0509A9E9" w:rsidR="002C64BD" w:rsidRDefault="000A26F5" w:rsidP="002C64BD">
      <w:pPr>
        <w:pStyle w:val="BodyTextIndent"/>
        <w:spacing w:after="0"/>
        <w:ind w:left="1440" w:right="460" w:hanging="720"/>
        <w:rPr>
          <w:color w:val="000000" w:themeColor="text1"/>
        </w:rPr>
      </w:pPr>
      <w:r>
        <w:rPr>
          <w:color w:val="000000"/>
        </w:rPr>
        <w:t>8</w:t>
      </w:r>
      <w:r w:rsidR="001E612A">
        <w:rPr>
          <w:color w:val="000000"/>
        </w:rPr>
        <w:t>.</w:t>
      </w:r>
      <w:r w:rsidR="00FD69D9">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will be accepted.</w:t>
      </w:r>
      <w:r w:rsidR="006A400E">
        <w:rPr>
          <w:color w:val="000000"/>
        </w:rPr>
        <w:t xml:space="preserve"> </w:t>
      </w:r>
      <w:r w:rsidR="00B25856">
        <w:rPr>
          <w:color w:val="000000" w:themeColor="text1"/>
        </w:rPr>
        <w:t xml:space="preserve">Proposals may be sent by registered or certified mail, courier service (e.g. FedEx), </w:t>
      </w:r>
      <w:r w:rsidR="005949A7">
        <w:rPr>
          <w:color w:val="000000" w:themeColor="text1"/>
        </w:rPr>
        <w:t xml:space="preserve">delivered by hand, </w:t>
      </w:r>
      <w:r w:rsidR="00B25856">
        <w:rPr>
          <w:color w:val="000000" w:themeColor="text1"/>
        </w:rPr>
        <w:t>or submitted electronically via email. Proposals may not be transmitted by fax</w:t>
      </w:r>
      <w:r w:rsidR="006A400E">
        <w:rPr>
          <w:color w:val="000000" w:themeColor="text1"/>
        </w:rPr>
        <w:t>.</w:t>
      </w:r>
    </w:p>
    <w:p w14:paraId="7A94D687" w14:textId="33992020" w:rsidR="00FD69D9" w:rsidRDefault="00FD69D9" w:rsidP="002C64BD">
      <w:pPr>
        <w:pStyle w:val="BodyTextIndent"/>
        <w:spacing w:after="0"/>
        <w:ind w:left="1440" w:right="460" w:hanging="720"/>
        <w:rPr>
          <w:color w:val="000000" w:themeColor="text1"/>
        </w:rPr>
      </w:pPr>
    </w:p>
    <w:p w14:paraId="14722FBD" w14:textId="395B627E" w:rsidR="00FD69D9" w:rsidRDefault="000A26F5" w:rsidP="002C64BD">
      <w:pPr>
        <w:pStyle w:val="BodyTextIndent"/>
        <w:spacing w:after="0"/>
        <w:ind w:left="1440" w:right="460" w:hanging="720"/>
        <w:rPr>
          <w:color w:val="000000" w:themeColor="text1"/>
        </w:rPr>
      </w:pPr>
      <w:r>
        <w:rPr>
          <w:color w:val="000000" w:themeColor="text1"/>
        </w:rPr>
        <w:t>8</w:t>
      </w:r>
      <w:r w:rsidR="00FD69D9">
        <w:rPr>
          <w:color w:val="000000" w:themeColor="text1"/>
        </w:rPr>
        <w:t>.7</w:t>
      </w:r>
      <w:r w:rsidR="00FD69D9">
        <w:rPr>
          <w:color w:val="000000" w:themeColor="text1"/>
        </w:rPr>
        <w:tab/>
        <w:t>Questions. Interested parties may submit a request for clarifications, modifications, or questions to the Court using the Question and Answer Submissio</w:t>
      </w:r>
      <w:r w:rsidR="00860C66">
        <w:rPr>
          <w:color w:val="000000" w:themeColor="text1"/>
        </w:rPr>
        <w:t xml:space="preserve">n Form, provided </w:t>
      </w:r>
      <w:r w:rsidR="00C31058">
        <w:rPr>
          <w:color w:val="000000" w:themeColor="text1"/>
        </w:rPr>
        <w:t xml:space="preserve">in </w:t>
      </w:r>
      <w:r w:rsidR="00C31058" w:rsidRPr="00C31058">
        <w:rPr>
          <w:color w:val="000000" w:themeColor="text1"/>
        </w:rPr>
        <w:t>Attachment 11</w:t>
      </w:r>
      <w:r w:rsidR="00FD69D9">
        <w:rPr>
          <w:color w:val="000000" w:themeColor="text1"/>
        </w:rPr>
        <w:t xml:space="preserve">. Requests shall be submitted via email to </w:t>
      </w:r>
      <w:hyperlink r:id="rId14" w:history="1">
        <w:r w:rsidR="00FD69D9" w:rsidRPr="0034267F">
          <w:rPr>
            <w:rStyle w:val="Hyperlink"/>
          </w:rPr>
          <w:t>bidquestions@alameda.courts.ca.gov</w:t>
        </w:r>
      </w:hyperlink>
      <w:r w:rsidR="00FD69D9">
        <w:rPr>
          <w:color w:val="000000" w:themeColor="text1"/>
        </w:rPr>
        <w:t xml:space="preserve"> no later than the date specified in the RFP timeline. Please indicate the RFP number and title in the subject line of the email. Contact with the Court shall be made only through the email address. </w:t>
      </w:r>
    </w:p>
    <w:p w14:paraId="5129F3D9" w14:textId="77777777" w:rsidR="00FD69D9" w:rsidRDefault="00FD69D9" w:rsidP="002C64BD">
      <w:pPr>
        <w:pStyle w:val="BodyTextIndent"/>
        <w:spacing w:after="0"/>
        <w:ind w:left="1440" w:right="460" w:hanging="720"/>
        <w:rPr>
          <w:color w:val="000000" w:themeColor="text1"/>
        </w:rPr>
      </w:pPr>
    </w:p>
    <w:p w14:paraId="4F1BFA1A" w14:textId="7A6554B4" w:rsidR="00FD69D9" w:rsidRDefault="000A26F5" w:rsidP="002C64BD">
      <w:pPr>
        <w:pStyle w:val="BodyTextIndent"/>
        <w:spacing w:after="0"/>
        <w:ind w:left="1440" w:right="460" w:hanging="720"/>
        <w:rPr>
          <w:color w:val="000000" w:themeColor="text1"/>
        </w:rPr>
      </w:pPr>
      <w:r>
        <w:rPr>
          <w:color w:val="000000" w:themeColor="text1"/>
        </w:rPr>
        <w:t>8</w:t>
      </w:r>
      <w:r w:rsidR="00FD69D9">
        <w:rPr>
          <w:color w:val="000000" w:themeColor="text1"/>
        </w:rPr>
        <w:t>.8</w:t>
      </w:r>
      <w:r w:rsidR="00FD69D9">
        <w:rPr>
          <w:color w:val="000000" w:themeColor="text1"/>
        </w:rPr>
        <w:tab/>
        <w:t xml:space="preserve">A vendor’s proposal is an irrevocable offer for </w:t>
      </w:r>
      <w:r w:rsidR="00FF3766">
        <w:rPr>
          <w:color w:val="000000" w:themeColor="text1"/>
        </w:rPr>
        <w:t xml:space="preserve">one hundred-eighty  </w:t>
      </w:r>
      <w:r w:rsidR="00FD69D9">
        <w:rPr>
          <w:color w:val="000000" w:themeColor="text1"/>
        </w:rPr>
        <w:t>(</w:t>
      </w:r>
      <w:r w:rsidR="00FF3766">
        <w:rPr>
          <w:color w:val="000000" w:themeColor="text1"/>
        </w:rPr>
        <w:t>180</w:t>
      </w:r>
      <w:r w:rsidR="00FD69D9">
        <w:rPr>
          <w:color w:val="000000" w:themeColor="text1"/>
        </w:rPr>
        <w:t xml:space="preserve">) days following the proposal due date. In the event a final contract has not been awarded within this period, the Court reserves the right to negotiate extensions to this period. In the event that the vendor with the highest scored Proposal refuses to execute a final contract for a Project to the vendor with the next highest scored proposal and execute a final contract with the vendor with the next highest scored proposal for the Project. </w:t>
      </w:r>
    </w:p>
    <w:p w14:paraId="72C02109" w14:textId="47AB16D9" w:rsidR="00FD69D9" w:rsidRDefault="00FD69D9" w:rsidP="002C64BD">
      <w:pPr>
        <w:pStyle w:val="BodyTextIndent"/>
        <w:spacing w:after="0"/>
        <w:ind w:left="1440" w:right="460" w:hanging="720"/>
        <w:rPr>
          <w:color w:val="000000" w:themeColor="text1"/>
        </w:rPr>
      </w:pPr>
    </w:p>
    <w:p w14:paraId="0998594E" w14:textId="524D3DB9" w:rsidR="00FD69D9" w:rsidRPr="005E0EE1" w:rsidRDefault="000A26F5" w:rsidP="002C64BD">
      <w:pPr>
        <w:pStyle w:val="BodyTextIndent"/>
        <w:spacing w:after="0"/>
        <w:ind w:left="1440" w:right="460" w:hanging="720"/>
        <w:rPr>
          <w:color w:val="000000"/>
        </w:rPr>
      </w:pPr>
      <w:r>
        <w:rPr>
          <w:color w:val="000000" w:themeColor="text1"/>
        </w:rPr>
        <w:t>8</w:t>
      </w:r>
      <w:r w:rsidR="00FD69D9">
        <w:rPr>
          <w:color w:val="000000" w:themeColor="text1"/>
        </w:rPr>
        <w:t>.9</w:t>
      </w:r>
      <w:r w:rsidR="00FD69D9">
        <w:rPr>
          <w:color w:val="000000" w:themeColor="text1"/>
        </w:rPr>
        <w:tab/>
        <w:t xml:space="preserve">Telephone calls will not be accepted. </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58B44BFD" w:rsidR="00595822" w:rsidRDefault="000A26F5"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352987D6" w:rsidR="00595822" w:rsidRPr="00D33EA6" w:rsidRDefault="000A26F5" w:rsidP="00595822">
      <w:pPr>
        <w:pStyle w:val="BodyTextIndent2"/>
        <w:keepNext/>
        <w:spacing w:after="0" w:line="240" w:lineRule="auto"/>
        <w:ind w:left="720"/>
      </w:pPr>
      <w:r>
        <w:t>9</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19001060" w14:textId="0AE04B1E" w:rsidR="0086416A" w:rsidRDefault="00893C52" w:rsidP="00595822">
      <w:pPr>
        <w:ind w:left="1440" w:hanging="720"/>
      </w:pPr>
      <w:r>
        <w:t>c.</w:t>
      </w:r>
      <w:r w:rsidR="00595822">
        <w:tab/>
      </w:r>
      <w:r w:rsidR="0086416A">
        <w:t>Resumes and Key Staff Members</w:t>
      </w:r>
    </w:p>
    <w:p w14:paraId="59AE7FFC" w14:textId="77777777" w:rsidR="0086416A" w:rsidRDefault="0086416A" w:rsidP="00595822">
      <w:pPr>
        <w:ind w:left="1440" w:hanging="720"/>
      </w:pPr>
    </w:p>
    <w:p w14:paraId="7D677EE9" w14:textId="2ADE6567" w:rsidR="00595822" w:rsidRDefault="0086416A" w:rsidP="00A40508">
      <w:pPr>
        <w:ind w:left="2160" w:hanging="720"/>
      </w:pPr>
      <w:r>
        <w:t>i.</w:t>
      </w:r>
      <w:r>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r>
        <w:t xml:space="preserve"> There is no limit on the number of key staff members proposed, but there is a limit of five (5) pages total. </w:t>
      </w:r>
    </w:p>
    <w:p w14:paraId="6F3B9056" w14:textId="1597FFA8" w:rsidR="0086416A" w:rsidRDefault="0086416A" w:rsidP="00A40508">
      <w:pPr>
        <w:ind w:left="2160" w:hanging="720"/>
      </w:pPr>
      <w:r>
        <w:t>ii.</w:t>
      </w:r>
      <w:r>
        <w:tab/>
        <w:t xml:space="preserve">The resume submittals should be no more than five (5) pages total. </w:t>
      </w:r>
    </w:p>
    <w:p w14:paraId="067CAC5B" w14:textId="77777777" w:rsidR="00595822" w:rsidRDefault="00595822" w:rsidP="00595822">
      <w:pPr>
        <w:ind w:left="1440" w:hanging="720"/>
      </w:pPr>
    </w:p>
    <w:p w14:paraId="7589EE93" w14:textId="1B59C2FA" w:rsidR="0086416A" w:rsidRDefault="00893C52" w:rsidP="00595822">
      <w:pPr>
        <w:ind w:left="1440" w:hanging="720"/>
      </w:pPr>
      <w:r>
        <w:t>d.</w:t>
      </w:r>
      <w:r w:rsidR="00595822">
        <w:tab/>
      </w:r>
      <w:r w:rsidR="0086416A">
        <w:t>References and Experience</w:t>
      </w:r>
    </w:p>
    <w:p w14:paraId="5D99A63E" w14:textId="77777777" w:rsidR="0086416A" w:rsidRDefault="0086416A" w:rsidP="00595822">
      <w:pPr>
        <w:ind w:left="1440" w:hanging="720"/>
      </w:pPr>
    </w:p>
    <w:p w14:paraId="77ECCE56" w14:textId="0E88A29F" w:rsidR="00595822" w:rsidRDefault="0086416A" w:rsidP="00A40508">
      <w:pPr>
        <w:ind w:left="2160" w:hanging="720"/>
      </w:pPr>
      <w:r>
        <w:t>i.</w:t>
      </w:r>
      <w:r>
        <w:tab/>
        <w:t xml:space="preserve">Contractor to provide references and information for the five (5) most recent installation projects for California public entities over $100,000. In lieu of the preceding, Contractor may provide references and information for the three (3) most recent painting projects completed on a courthouse in California. The references and information must include the following: </w:t>
      </w:r>
    </w:p>
    <w:p w14:paraId="46B0CDC7" w14:textId="77777777" w:rsidR="00BA7E27" w:rsidRDefault="00BA7E27" w:rsidP="00837DE4">
      <w:pPr>
        <w:ind w:left="1440" w:firstLine="720"/>
      </w:pPr>
    </w:p>
    <w:p w14:paraId="33EF524E" w14:textId="2BB2A99E" w:rsidR="0086416A" w:rsidRDefault="00BA7E27" w:rsidP="00A40508">
      <w:pPr>
        <w:pStyle w:val="ListParagraph"/>
        <w:numPr>
          <w:ilvl w:val="0"/>
          <w:numId w:val="19"/>
        </w:numPr>
        <w:ind w:left="2880"/>
      </w:pPr>
      <w:r>
        <w:t xml:space="preserve">Identify the client, number of sites where work was performed, a description of services and work provided, the timeframe for completion, the original project budget and final cost. </w:t>
      </w:r>
    </w:p>
    <w:p w14:paraId="1C787E19" w14:textId="3BB7AF89" w:rsidR="00BA7E27" w:rsidRDefault="00BA7E27" w:rsidP="00A40508">
      <w:pPr>
        <w:pStyle w:val="ListParagraph"/>
        <w:numPr>
          <w:ilvl w:val="0"/>
          <w:numId w:val="19"/>
        </w:numPr>
        <w:ind w:left="2880"/>
      </w:pPr>
      <w:r>
        <w:t xml:space="preserve">Identify the role of key team members that participated in the project. </w:t>
      </w:r>
    </w:p>
    <w:p w14:paraId="10D5E9EF" w14:textId="76B65348" w:rsidR="00BA7E27" w:rsidRDefault="00BA7E27" w:rsidP="00A40508">
      <w:pPr>
        <w:pStyle w:val="ListParagraph"/>
        <w:numPr>
          <w:ilvl w:val="0"/>
          <w:numId w:val="19"/>
        </w:numPr>
        <w:ind w:left="2880"/>
      </w:pPr>
      <w:r>
        <w:t>Provide a contact/client reference with current contact information, including names, address and current telephone number for each project. The Court may check references listed by the Contractor.</w:t>
      </w:r>
    </w:p>
    <w:p w14:paraId="4BA5DB7B" w14:textId="4A88F38E" w:rsidR="00BA7E27" w:rsidRPr="00FF3766" w:rsidRDefault="00BA7E27" w:rsidP="00A40508">
      <w:pPr>
        <w:pStyle w:val="ListParagraph"/>
        <w:numPr>
          <w:ilvl w:val="1"/>
          <w:numId w:val="19"/>
        </w:numPr>
        <w:ind w:left="3240"/>
      </w:pPr>
      <w:r w:rsidRPr="00463A1B">
        <w:t>Please ensure contact information is up-to-date</w:t>
      </w:r>
      <w:r w:rsidRPr="00FF3766">
        <w:t>.</w:t>
      </w:r>
    </w:p>
    <w:p w14:paraId="02F4655B" w14:textId="58EF2CF8" w:rsidR="00BA7E27" w:rsidRPr="00FF3766" w:rsidRDefault="00BA7E27" w:rsidP="00A40508">
      <w:pPr>
        <w:pStyle w:val="ListParagraph"/>
        <w:numPr>
          <w:ilvl w:val="1"/>
          <w:numId w:val="19"/>
        </w:numPr>
        <w:ind w:left="3240"/>
      </w:pPr>
      <w:r w:rsidRPr="00463A1B">
        <w:t xml:space="preserve">References and information are to be no more than one (1) page for each project, for </w:t>
      </w:r>
      <w:r w:rsidR="00FF3766" w:rsidRPr="00463A1B">
        <w:t xml:space="preserve">a total of </w:t>
      </w:r>
      <w:r w:rsidRPr="00463A1B">
        <w:t>five pages</w:t>
      </w:r>
      <w:r w:rsidRPr="00FF3766">
        <w:t xml:space="preserve">. </w:t>
      </w:r>
    </w:p>
    <w:p w14:paraId="1EE350FB" w14:textId="784A0537" w:rsidR="00BA7E27" w:rsidRDefault="00BA7E27" w:rsidP="00700F34"/>
    <w:p w14:paraId="52B4AAAF" w14:textId="77777777" w:rsidR="00595822" w:rsidRDefault="00595822" w:rsidP="00595822">
      <w:pPr>
        <w:ind w:left="1440" w:hanging="720"/>
      </w:pPr>
    </w:p>
    <w:p w14:paraId="7804D5B6" w14:textId="77777777" w:rsidR="00595822" w:rsidRDefault="00B60F34" w:rsidP="00595822">
      <w:pPr>
        <w:ind w:left="1440" w:hanging="720"/>
      </w:pPr>
      <w:r>
        <w:t>e</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5777415D" w14:textId="17767CA7" w:rsidR="00595822" w:rsidRPr="00491783" w:rsidRDefault="00A9408B" w:rsidP="00491783">
      <w:pPr>
        <w:ind w:left="2160" w:hanging="720"/>
      </w:pPr>
      <w:r>
        <w:t>i.</w:t>
      </w:r>
      <w:r w:rsidR="00595822">
        <w:tab/>
      </w:r>
      <w:r w:rsidR="00856B4A">
        <w:t>Contractor</w:t>
      </w:r>
      <w:r w:rsidR="00491783">
        <w:t>s should submit a proposed metho</w:t>
      </w:r>
      <w:r w:rsidR="00856B4A">
        <w:t>d to complete the work, and Contractor</w:t>
      </w:r>
      <w:r w:rsidR="00491783">
        <w:t xml:space="preserve">s should also submit a list of materials that are intended to be used for the completion of the work. </w:t>
      </w:r>
    </w:p>
    <w:p w14:paraId="79F113F0" w14:textId="0A999274" w:rsidR="006A278D" w:rsidRPr="00491783" w:rsidRDefault="006A278D" w:rsidP="00491783">
      <w:pPr>
        <w:tabs>
          <w:tab w:val="left" w:pos="1440"/>
        </w:tabs>
        <w:rPr>
          <w:color w:val="000000" w:themeColor="text1"/>
        </w:rPr>
      </w:pPr>
    </w:p>
    <w:p w14:paraId="26A4FF28" w14:textId="4E7858BC"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C31058">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7D01EB0" w14:textId="480FA9E5" w:rsidR="00BD0D2D" w:rsidRPr="00491783" w:rsidRDefault="00BD0D2D" w:rsidP="00491783">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16368BCF" w:rsidR="007B0E96" w:rsidRDefault="007B0E96" w:rsidP="0009173E">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rsidRPr="00C31058">
        <w:t xml:space="preserve">Attachment </w:t>
      </w:r>
      <w:r w:rsidR="00DE43B0" w:rsidRPr="00C31058">
        <w:t>5</w:t>
      </w:r>
      <w:r w:rsidR="00F95CBF" w:rsidRPr="00C31058">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77777777" w:rsidR="00A74DB8" w:rsidRDefault="00595811" w:rsidP="00A74DB8">
      <w:pPr>
        <w:ind w:left="2160" w:hanging="720"/>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32DFEB2D" w14:textId="77777777" w:rsidR="00A74DB8" w:rsidRDefault="00A74DB8" w:rsidP="00A74DB8">
      <w:pPr>
        <w:ind w:left="2160" w:hanging="720"/>
        <w:rPr>
          <w:color w:val="000000" w:themeColor="text1"/>
        </w:rPr>
      </w:pPr>
    </w:p>
    <w:p w14:paraId="0B1946FA" w14:textId="5C50ADBB" w:rsidR="007F2DE9" w:rsidRDefault="00C00178" w:rsidP="00C353D1">
      <w:pPr>
        <w:ind w:left="2160" w:hanging="720"/>
        <w:rPr>
          <w:rFonts w:cs="Arial"/>
          <w:spacing w:val="-3"/>
        </w:rPr>
      </w:pPr>
      <w:r>
        <w:rPr>
          <w:color w:val="000000" w:themeColor="text1"/>
        </w:rPr>
        <w:t>i</w:t>
      </w:r>
      <w:r w:rsidR="00A74DB8">
        <w:rPr>
          <w:color w:val="000000" w:themeColor="text1"/>
        </w:rPr>
        <w:t>v.</w:t>
      </w:r>
      <w:r w:rsidR="00A74DB8">
        <w:rPr>
          <w:color w:val="000000" w:themeColor="text1"/>
        </w:rPr>
        <w:tab/>
      </w:r>
      <w:r w:rsidR="007F2DE9">
        <w:rPr>
          <w:color w:val="000000" w:themeColor="text1"/>
        </w:rPr>
        <w:t>Designated</w:t>
      </w:r>
      <w:r w:rsidR="007F2DE9">
        <w:rPr>
          <w:rFonts w:cs="Arial"/>
          <w:spacing w:val="-3"/>
        </w:rPr>
        <w:t xml:space="preserve"> Subcontractors List (</w:t>
      </w:r>
      <w:r w:rsidR="007F2DE9" w:rsidRPr="00C31058">
        <w:rPr>
          <w:rFonts w:cs="Arial"/>
          <w:spacing w:val="-3"/>
        </w:rPr>
        <w:t xml:space="preserve">Attachment </w:t>
      </w:r>
      <w:r w:rsidR="00C31058">
        <w:rPr>
          <w:rFonts w:cs="Arial"/>
          <w:spacing w:val="-3"/>
        </w:rPr>
        <w:t>12</w:t>
      </w:r>
      <w:r w:rsidR="007F2DE9">
        <w:rPr>
          <w:rFonts w:cs="Arial"/>
          <w:spacing w:val="-3"/>
        </w:rPr>
        <w:t xml:space="preserve">) – Contractor must list  on the Designated Subcontractors List those subcontractors who will perform any portion of Project, including labor, rendering of service, or specially fabricating and installing a portion of the Project in excess of one half of one percent (0.5%) of total Proposal amount. Failure to submit the Designated Subcontractors List shall result in the Proposal for the applicable Project to be deemed non-responsive. </w:t>
      </w:r>
    </w:p>
    <w:p w14:paraId="70A38305" w14:textId="77777777" w:rsidR="00A74DB8" w:rsidRDefault="00A74DB8" w:rsidP="00A74DB8">
      <w:pPr>
        <w:ind w:left="2160" w:hanging="720"/>
        <w:rPr>
          <w:rFonts w:cs="Arial"/>
          <w:spacing w:val="-3"/>
        </w:rPr>
      </w:pPr>
    </w:p>
    <w:p w14:paraId="4BE659B7" w14:textId="74A19546" w:rsidR="00A74DB8" w:rsidRDefault="00C00178" w:rsidP="00A74DB8">
      <w:pPr>
        <w:ind w:left="2160" w:hanging="72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77777777" w:rsidR="001058F3" w:rsidRDefault="001058F3" w:rsidP="001058F3">
      <w:pPr>
        <w:ind w:left="2160" w:hanging="720"/>
      </w:pPr>
      <w:r>
        <w:rPr>
          <w:rFonts w:cs="Arial"/>
          <w:spacing w:val="-3"/>
        </w:rPr>
        <w:t xml:space="preserve">vi.  </w:t>
      </w:r>
      <w:r>
        <w:rPr>
          <w:rFonts w:cs="Arial"/>
          <w:spacing w:val="-3"/>
        </w:rPr>
        <w:tab/>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rsidR="00447B71">
        <w:rPr>
          <w:rFonts w:cs="Arial"/>
          <w:spacing w:val="-3"/>
        </w:rPr>
        <w:t xml:space="preserve">The </w:t>
      </w:r>
      <w:r>
        <w:t>Proposer</w:t>
      </w:r>
      <w:r w:rsidRPr="00380F9A">
        <w:t xml:space="preserve"> must complete the </w:t>
      </w:r>
      <w:r>
        <w:t>Iran</w:t>
      </w:r>
      <w:r w:rsidRPr="00380F9A">
        <w:t xml:space="preserve"> Contracting Act Certif</w:t>
      </w:r>
      <w:r>
        <w:t>ication (</w:t>
      </w:r>
      <w:r w:rsidRPr="00C31058">
        <w:t xml:space="preserve">Attachment </w:t>
      </w:r>
      <w:r w:rsidR="00DE43B0" w:rsidRPr="00C31058">
        <w:t>7</w:t>
      </w:r>
      <w:r>
        <w:t>) and submit the completed certification with its proposal</w:t>
      </w:r>
      <w:r w:rsidRPr="00380F9A">
        <w:t xml:space="preserve">. </w:t>
      </w:r>
    </w:p>
    <w:p w14:paraId="1FC987E4" w14:textId="77777777" w:rsidR="00BB1D15" w:rsidRDefault="00BB1D15" w:rsidP="001058F3">
      <w:pPr>
        <w:ind w:left="2160" w:hanging="720"/>
      </w:pPr>
    </w:p>
    <w:p w14:paraId="116EF645" w14:textId="77777777" w:rsidR="00BB1D15" w:rsidRDefault="00BB1D15" w:rsidP="001058F3">
      <w:pPr>
        <w:ind w:left="2160" w:hanging="720"/>
      </w:pPr>
      <w:r>
        <w:t>vii.</w:t>
      </w:r>
      <w:r>
        <w:tab/>
      </w:r>
      <w:r w:rsidRPr="00611C76">
        <w:rPr>
          <w:i/>
          <w:color w:val="FF0000"/>
        </w:rPr>
        <w:t>[for solicitations of $100,000 or more]</w:t>
      </w:r>
      <w:r w:rsidRPr="00BB1D15">
        <w:t xml:space="preserve"> </w:t>
      </w:r>
      <w:r>
        <w:t>The Proposer</w:t>
      </w:r>
      <w:r w:rsidRPr="00BB1D15">
        <w:t xml:space="preserve"> must complete the Unruh Civil Rights Act and California Fair Employment and Housing Act Certification (Attachment </w:t>
      </w:r>
      <w:r>
        <w:t>8</w:t>
      </w:r>
      <w:r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3991864C" w14:textId="2ABFBA37" w:rsidR="005236D7" w:rsidRPr="00D33EA6" w:rsidRDefault="000A26F5" w:rsidP="005236D7">
      <w:pPr>
        <w:pStyle w:val="BodyTextIndent2"/>
        <w:keepNext/>
        <w:spacing w:after="0" w:line="240" w:lineRule="auto"/>
        <w:ind w:left="720"/>
      </w:pPr>
      <w:r>
        <w:t>9</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7D3C2BED" w14:textId="3E332477" w:rsidR="007A54C2" w:rsidRDefault="005236D7" w:rsidP="005236D7">
      <w:pPr>
        <w:ind w:left="2160" w:hanging="720"/>
      </w:pPr>
      <w:r>
        <w:t>i.</w:t>
      </w:r>
      <w:r>
        <w:tab/>
      </w:r>
      <w:r w:rsidR="007A54C2" w:rsidRPr="007A54C2">
        <w:t xml:space="preserve">Payment terms will be specified in any agreement that may ensue as a result of the RFP. </w:t>
      </w:r>
    </w:p>
    <w:p w14:paraId="4B0ABA74" w14:textId="77777777" w:rsidR="005236D7" w:rsidRDefault="005236D7" w:rsidP="005236D7">
      <w:pPr>
        <w:ind w:left="2160" w:hanging="720"/>
      </w:pPr>
    </w:p>
    <w:p w14:paraId="7531D96F" w14:textId="3635348E" w:rsidR="005236D7" w:rsidRDefault="005236D7" w:rsidP="005236D7">
      <w:pPr>
        <w:ind w:left="2160" w:hanging="720"/>
        <w:rPr>
          <w:b/>
        </w:rPr>
      </w:pPr>
      <w:r>
        <w:t>ii.</w:t>
      </w:r>
      <w:r w:rsidRPr="00D57FDE">
        <w:rPr>
          <w:b/>
        </w:rPr>
        <w:tab/>
      </w:r>
      <w:r w:rsidR="00713D6F">
        <w:t xml:space="preserve">Please provide a rate sheet with the rates for the workers that will be assigned to the Painting Projects. </w:t>
      </w:r>
      <w:r w:rsidR="00D57FDE" w:rsidRPr="00D57FDE">
        <w:rPr>
          <w:b/>
        </w:rPr>
        <w:t xml:space="preserve"> </w:t>
      </w:r>
    </w:p>
    <w:p w14:paraId="6051AD77" w14:textId="7A8B1AF7" w:rsidR="00713D6F" w:rsidRDefault="00713D6F" w:rsidP="005236D7">
      <w:pPr>
        <w:ind w:left="2160" w:hanging="720"/>
        <w:rPr>
          <w:b/>
        </w:rPr>
      </w:pPr>
    </w:p>
    <w:p w14:paraId="459676D5" w14:textId="4CBC5E9B" w:rsidR="00713D6F" w:rsidRDefault="00713D6F" w:rsidP="005236D7">
      <w:pPr>
        <w:ind w:left="2160" w:hanging="720"/>
      </w:pPr>
      <w:r>
        <w:t>iii.</w:t>
      </w:r>
      <w:r>
        <w:tab/>
        <w:t>Please provide associated material costs for the Painting Projects.</w:t>
      </w:r>
    </w:p>
    <w:p w14:paraId="1384F6DA" w14:textId="7AD3E4EB" w:rsidR="00713D6F" w:rsidRDefault="00713D6F" w:rsidP="005236D7">
      <w:pPr>
        <w:ind w:left="2160" w:hanging="720"/>
      </w:pPr>
    </w:p>
    <w:p w14:paraId="2E02092D" w14:textId="7F58C374" w:rsidR="00713D6F" w:rsidRPr="00713D6F" w:rsidRDefault="00713D6F" w:rsidP="005236D7">
      <w:pPr>
        <w:ind w:left="2160" w:hanging="720"/>
      </w:pPr>
      <w:r>
        <w:t>iv.</w:t>
      </w:r>
      <w:r>
        <w:tab/>
        <w:t>Please provide Contractor’s overhead and markup rates</w:t>
      </w:r>
      <w:r w:rsidR="00E26A6C">
        <w:t>.</w:t>
      </w:r>
    </w:p>
    <w:p w14:paraId="576E5CEB" w14:textId="77777777" w:rsidR="007A54C2" w:rsidRPr="007A54C2" w:rsidRDefault="007A54C2" w:rsidP="007A54C2">
      <w:pPr>
        <w:ind w:left="2160" w:hanging="720"/>
      </w:pPr>
    </w:p>
    <w:p w14:paraId="6A8DF045" w14:textId="4B0A442B" w:rsidR="00FC49BD" w:rsidRPr="007A54C2" w:rsidRDefault="00E26A6C" w:rsidP="00FC49BD">
      <w:pPr>
        <w:ind w:left="2160" w:hanging="720"/>
      </w:pPr>
      <w:r>
        <w:t>v</w:t>
      </w:r>
      <w:r w:rsidR="007A54C2">
        <w:t>.</w:t>
      </w:r>
      <w:r w:rsidR="007A54C2">
        <w:tab/>
      </w:r>
      <w:r w:rsidR="007A54C2" w:rsidRPr="007A54C2">
        <w:rPr>
          <w:b/>
          <w:bCs/>
        </w:rPr>
        <w:t xml:space="preserve">THE COURT DOES NOT MAKE ADVANCE PAYMENT FOR SERVICES. </w:t>
      </w:r>
      <w:r w:rsidR="007A54C2" w:rsidRPr="007A54C2">
        <w:t>Payment is normally made based upon completion of tasks as provided in the agreement between the Court and the selected Proposer. The Court may withhold ten percent of each invoice until receipt and acceptance of the final deliverable. The amount of thewithhold may depend upon the length of the project and the payment schedule provided in the agreement between the Court and the selected Proposer.</w:t>
      </w:r>
    </w:p>
    <w:p w14:paraId="5172F4F6" w14:textId="77777777" w:rsidR="002C64BD" w:rsidRDefault="002C64BD" w:rsidP="00BD65B9">
      <w:pPr>
        <w:keepNext/>
        <w:ind w:left="720" w:hanging="720"/>
        <w:rPr>
          <w:b/>
          <w:bCs/>
        </w:rPr>
      </w:pPr>
    </w:p>
    <w:p w14:paraId="422C603A" w14:textId="5F9D5AB9" w:rsidR="00173CFE" w:rsidRDefault="000A26F5"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31A167BA"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004A0B95">
        <w:rPr>
          <w:color w:val="000000" w:themeColor="text1"/>
        </w:rPr>
        <w:t>one hundred and eighty (180)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50172F">
        <w:t>Court</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18CDBFCF" w:rsidR="00BD65B9" w:rsidRDefault="000A26F5"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41E200C3" w:rsidR="00595822" w:rsidRDefault="00BD65B9" w:rsidP="00595822">
      <w:pPr>
        <w:keepNext/>
        <w:ind w:left="720"/>
      </w:pPr>
      <w:r>
        <w:t xml:space="preserve">The </w:t>
      </w:r>
      <w:r w:rsidR="0050172F">
        <w:t>Court</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662A16B2" w:rsidR="00AC606D" w:rsidRDefault="00AC606D" w:rsidP="00595822">
      <w:pPr>
        <w:keepNext/>
        <w:ind w:left="720"/>
      </w:pPr>
      <w:r w:rsidRPr="001564A5">
        <w:rPr>
          <w:bCs/>
        </w:rPr>
        <w:t xml:space="preserve">If a contract will be awarded, the </w:t>
      </w:r>
      <w:r w:rsidR="002937D3">
        <w:rPr>
          <w:bCs/>
        </w:rPr>
        <w:t>Court</w:t>
      </w:r>
      <w:r w:rsidRPr="001564A5">
        <w:rPr>
          <w:bCs/>
        </w:rPr>
        <w:t xml:space="preserve"> will post an intent to award notice at</w:t>
      </w:r>
      <w:r w:rsidR="000B357C">
        <w:rPr>
          <w:bCs/>
        </w:rPr>
        <w:t xml:space="preserve"> </w:t>
      </w:r>
      <w:r w:rsidR="00D57FDE" w:rsidRPr="00D57FDE">
        <w:rPr>
          <w:bCs/>
        </w:rPr>
        <w:t>http://www.alameda.courts.ca.gov/Pages.aspx/Contract-Opportunities</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149003AD" w14:textId="1A1646E6" w:rsidR="003A4D99" w:rsidRPr="00D77FEF"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A40508" w:rsidRDefault="00BD65B9" w:rsidP="003E4B31">
            <w:pPr>
              <w:widowControl w:val="0"/>
              <w:rPr>
                <w:bCs/>
              </w:rPr>
            </w:pPr>
            <w:r w:rsidRPr="00A40508">
              <w:t>Quality of work plan submitted</w:t>
            </w:r>
          </w:p>
        </w:tc>
        <w:tc>
          <w:tcPr>
            <w:tcW w:w="3192" w:type="dxa"/>
            <w:vAlign w:val="center"/>
          </w:tcPr>
          <w:p w14:paraId="34D2CFB5" w14:textId="4B567D08" w:rsidR="00BD65B9" w:rsidRPr="00A40508" w:rsidRDefault="00DB184D" w:rsidP="003E4B31">
            <w:pPr>
              <w:widowControl w:val="0"/>
              <w:tabs>
                <w:tab w:val="left" w:pos="2178"/>
              </w:tabs>
              <w:jc w:val="center"/>
              <w:rPr>
                <w:b/>
                <w:bCs/>
              </w:rPr>
            </w:pPr>
            <w:r w:rsidRPr="00A40508">
              <w:rPr>
                <w:bCs/>
              </w:rPr>
              <w:t>20</w:t>
            </w:r>
          </w:p>
        </w:tc>
      </w:tr>
      <w:tr w:rsidR="00BD65B9" w:rsidRPr="003B7ABC" w14:paraId="78FBBF07" w14:textId="77777777" w:rsidTr="003E4B31">
        <w:trPr>
          <w:trHeight w:val="647"/>
          <w:jc w:val="center"/>
        </w:trPr>
        <w:tc>
          <w:tcPr>
            <w:tcW w:w="4986" w:type="dxa"/>
            <w:vAlign w:val="center"/>
          </w:tcPr>
          <w:p w14:paraId="71A97AE9" w14:textId="77777777" w:rsidR="00BD65B9" w:rsidRPr="00A40508" w:rsidRDefault="00BD65B9" w:rsidP="003E4B31">
            <w:pPr>
              <w:widowControl w:val="0"/>
              <w:rPr>
                <w:bCs/>
              </w:rPr>
            </w:pPr>
            <w:r w:rsidRPr="00A40508">
              <w:t>Experience on similar assignments</w:t>
            </w:r>
          </w:p>
        </w:tc>
        <w:tc>
          <w:tcPr>
            <w:tcW w:w="3192" w:type="dxa"/>
            <w:vAlign w:val="center"/>
          </w:tcPr>
          <w:p w14:paraId="0DDD2C5E" w14:textId="3533D658" w:rsidR="00BD65B9" w:rsidRPr="00A40508" w:rsidRDefault="00313B18" w:rsidP="003E4B31">
            <w:pPr>
              <w:widowControl w:val="0"/>
              <w:tabs>
                <w:tab w:val="left" w:pos="2178"/>
              </w:tabs>
              <w:jc w:val="center"/>
              <w:rPr>
                <w:b/>
                <w:bCs/>
              </w:rPr>
            </w:pPr>
            <w:r w:rsidRPr="00A40508">
              <w:rPr>
                <w:bCs/>
              </w:rPr>
              <w:t>15</w:t>
            </w:r>
          </w:p>
        </w:tc>
      </w:tr>
      <w:tr w:rsidR="00BD65B9" w:rsidRPr="003B7ABC" w14:paraId="262745B3" w14:textId="77777777" w:rsidTr="003E4B31">
        <w:trPr>
          <w:trHeight w:val="647"/>
          <w:jc w:val="center"/>
        </w:trPr>
        <w:tc>
          <w:tcPr>
            <w:tcW w:w="4986" w:type="dxa"/>
            <w:vAlign w:val="center"/>
          </w:tcPr>
          <w:p w14:paraId="6CDC682D" w14:textId="77777777" w:rsidR="00BD65B9" w:rsidRPr="00A40508" w:rsidRDefault="00595822" w:rsidP="003E4B31">
            <w:pPr>
              <w:widowControl w:val="0"/>
              <w:rPr>
                <w:bCs/>
              </w:rPr>
            </w:pPr>
            <w:r w:rsidRPr="00A40508">
              <w:t xml:space="preserve">Cost </w:t>
            </w:r>
          </w:p>
        </w:tc>
        <w:tc>
          <w:tcPr>
            <w:tcW w:w="3192" w:type="dxa"/>
            <w:vAlign w:val="center"/>
          </w:tcPr>
          <w:p w14:paraId="5E957145" w14:textId="7D5871D7" w:rsidR="00BD65B9" w:rsidRPr="00A40508" w:rsidRDefault="00313B18" w:rsidP="003E4B31">
            <w:pPr>
              <w:widowControl w:val="0"/>
              <w:jc w:val="center"/>
              <w:rPr>
                <w:b/>
                <w:bCs/>
              </w:rPr>
            </w:pPr>
            <w:r w:rsidRPr="00A40508">
              <w:rPr>
                <w:bCs/>
              </w:rPr>
              <w:t>35</w:t>
            </w:r>
          </w:p>
        </w:tc>
      </w:tr>
      <w:tr w:rsidR="00BD65B9" w:rsidRPr="003B7ABC" w14:paraId="329DAF7B" w14:textId="77777777" w:rsidTr="003E4B31">
        <w:trPr>
          <w:trHeight w:val="539"/>
          <w:jc w:val="center"/>
        </w:trPr>
        <w:tc>
          <w:tcPr>
            <w:tcW w:w="4986" w:type="dxa"/>
            <w:vAlign w:val="center"/>
          </w:tcPr>
          <w:p w14:paraId="4BA9B181" w14:textId="77777777" w:rsidR="00BD65B9" w:rsidRPr="00A40508" w:rsidRDefault="00BD65B9" w:rsidP="003E4B31">
            <w:pPr>
              <w:widowControl w:val="0"/>
              <w:ind w:right="576"/>
              <w:rPr>
                <w:bCs/>
              </w:rPr>
            </w:pPr>
            <w:r w:rsidRPr="00A40508">
              <w:t>Credentials of staff to be assigned to the project</w:t>
            </w:r>
          </w:p>
        </w:tc>
        <w:tc>
          <w:tcPr>
            <w:tcW w:w="3192" w:type="dxa"/>
            <w:vAlign w:val="center"/>
          </w:tcPr>
          <w:p w14:paraId="7A874637" w14:textId="5AA99427" w:rsidR="00BD65B9" w:rsidRPr="00A40508" w:rsidRDefault="00313B18" w:rsidP="00313B18">
            <w:pPr>
              <w:widowControl w:val="0"/>
              <w:jc w:val="center"/>
              <w:rPr>
                <w:b/>
                <w:bCs/>
              </w:rPr>
            </w:pPr>
            <w:r w:rsidRPr="00A40508">
              <w:rPr>
                <w:bCs/>
              </w:rPr>
              <w:t>5</w:t>
            </w:r>
          </w:p>
        </w:tc>
      </w:tr>
      <w:tr w:rsidR="00595822" w:rsidRPr="003B7ABC" w14:paraId="1FE78355" w14:textId="77777777" w:rsidTr="003E4B31">
        <w:trPr>
          <w:trHeight w:val="539"/>
          <w:jc w:val="center"/>
        </w:trPr>
        <w:tc>
          <w:tcPr>
            <w:tcW w:w="4986" w:type="dxa"/>
            <w:vAlign w:val="center"/>
          </w:tcPr>
          <w:p w14:paraId="6661D321" w14:textId="77777777" w:rsidR="00595822" w:rsidRPr="00A40508" w:rsidRDefault="005F597D" w:rsidP="003E4B31">
            <w:pPr>
              <w:widowControl w:val="0"/>
              <w:ind w:right="576"/>
            </w:pPr>
            <w:r w:rsidRPr="00A40508">
              <w:t xml:space="preserve">Acceptance of </w:t>
            </w:r>
            <w:r w:rsidR="00B23242" w:rsidRPr="00A40508">
              <w:t xml:space="preserve">the </w:t>
            </w:r>
            <w:r w:rsidR="00EC4775" w:rsidRPr="001E5D40">
              <w:t xml:space="preserve"> </w:t>
            </w:r>
            <w:r w:rsidR="00EC4775" w:rsidRPr="00A40508">
              <w:t>Terms and Conditions</w:t>
            </w:r>
          </w:p>
        </w:tc>
        <w:tc>
          <w:tcPr>
            <w:tcW w:w="3192" w:type="dxa"/>
            <w:vAlign w:val="center"/>
          </w:tcPr>
          <w:p w14:paraId="51ED83D6" w14:textId="78CE69ED" w:rsidR="00595822" w:rsidRPr="00A40508" w:rsidRDefault="00313B18" w:rsidP="003E4B31">
            <w:pPr>
              <w:widowControl w:val="0"/>
              <w:jc w:val="center"/>
              <w:rPr>
                <w:b/>
                <w:bCs/>
              </w:rPr>
            </w:pPr>
            <w:r w:rsidRPr="00A40508">
              <w:rPr>
                <w:bCs/>
              </w:rPr>
              <w:t>10</w:t>
            </w:r>
          </w:p>
        </w:tc>
      </w:tr>
      <w:tr w:rsidR="00313B18" w:rsidRPr="003B7ABC" w14:paraId="15A473B6" w14:textId="77777777" w:rsidTr="003E4B31">
        <w:trPr>
          <w:trHeight w:val="520"/>
          <w:jc w:val="center"/>
        </w:trPr>
        <w:tc>
          <w:tcPr>
            <w:tcW w:w="4986" w:type="dxa"/>
            <w:vAlign w:val="center"/>
          </w:tcPr>
          <w:p w14:paraId="58DC51C3" w14:textId="41996A82" w:rsidR="00313B18" w:rsidRPr="00A40508" w:rsidRDefault="00313B18" w:rsidP="003E4B31">
            <w:pPr>
              <w:widowControl w:val="0"/>
            </w:pPr>
            <w:r w:rsidRPr="00A40508">
              <w:t>Proposed method to complete the work</w:t>
            </w:r>
          </w:p>
        </w:tc>
        <w:tc>
          <w:tcPr>
            <w:tcW w:w="3192" w:type="dxa"/>
            <w:vAlign w:val="center"/>
          </w:tcPr>
          <w:p w14:paraId="17398B5F" w14:textId="2455EF46" w:rsidR="00313B18" w:rsidRPr="00A40508" w:rsidRDefault="00DB184D" w:rsidP="003E4B31">
            <w:pPr>
              <w:widowControl w:val="0"/>
              <w:jc w:val="center"/>
              <w:rPr>
                <w:b/>
                <w:bCs/>
              </w:rPr>
            </w:pPr>
            <w:r w:rsidRPr="00A40508">
              <w:rPr>
                <w:bCs/>
              </w:rPr>
              <w:t>15</w:t>
            </w:r>
          </w:p>
        </w:tc>
      </w:tr>
      <w:tr w:rsidR="00384CFF" w:rsidRPr="003B7ABC" w14:paraId="74B68802" w14:textId="77777777" w:rsidTr="003E4B31">
        <w:trPr>
          <w:trHeight w:val="520"/>
          <w:jc w:val="center"/>
        </w:trPr>
        <w:tc>
          <w:tcPr>
            <w:tcW w:w="4986" w:type="dxa"/>
            <w:vAlign w:val="center"/>
          </w:tcPr>
          <w:p w14:paraId="40D3F199" w14:textId="09878004" w:rsidR="00384CFF" w:rsidRPr="00A40508" w:rsidRDefault="00384CFF" w:rsidP="003E4B31">
            <w:pPr>
              <w:widowControl w:val="0"/>
            </w:pPr>
            <w:r>
              <w:t>DVBE Incentive</w:t>
            </w:r>
          </w:p>
        </w:tc>
        <w:tc>
          <w:tcPr>
            <w:tcW w:w="3192" w:type="dxa"/>
            <w:vAlign w:val="center"/>
          </w:tcPr>
          <w:p w14:paraId="1DE852A0" w14:textId="2277521F" w:rsidR="00384CFF" w:rsidRPr="00A40508" w:rsidRDefault="00384CFF" w:rsidP="003E4B31">
            <w:pPr>
              <w:widowControl w:val="0"/>
              <w:jc w:val="center"/>
              <w:rPr>
                <w:bCs/>
              </w:rPr>
            </w:pPr>
            <w:r>
              <w:rPr>
                <w:bCs/>
              </w:rPr>
              <w:t>3</w:t>
            </w:r>
          </w:p>
        </w:tc>
      </w:tr>
    </w:tbl>
    <w:p w14:paraId="2948472F" w14:textId="1B201F1F" w:rsidR="00C37FF7" w:rsidRDefault="00C37FF7"/>
    <w:p w14:paraId="77DB4171" w14:textId="77777777" w:rsidR="00303B35" w:rsidRDefault="00303B35" w:rsidP="00837DE4">
      <w:pPr>
        <w:ind w:firstLine="720"/>
      </w:pPr>
    </w:p>
    <w:p w14:paraId="5CE74A23" w14:textId="13DF5166" w:rsidR="00303B35" w:rsidRDefault="00303B35" w:rsidP="00837DE4">
      <w:pPr>
        <w:ind w:firstLine="720"/>
      </w:pPr>
    </w:p>
    <w:p w14:paraId="7942840D" w14:textId="543727B9" w:rsidR="001E5D40" w:rsidRDefault="001E5D40" w:rsidP="00837DE4">
      <w:pPr>
        <w:ind w:firstLine="720"/>
      </w:pPr>
    </w:p>
    <w:p w14:paraId="62FBD546" w14:textId="21B46185" w:rsidR="001E5D40" w:rsidRDefault="001E5D40" w:rsidP="00837DE4">
      <w:pPr>
        <w:ind w:firstLine="720"/>
      </w:pPr>
    </w:p>
    <w:p w14:paraId="200DE936" w14:textId="3CC794CD" w:rsidR="001E5D40" w:rsidRDefault="001E5D40" w:rsidP="00837DE4">
      <w:pPr>
        <w:ind w:firstLine="720"/>
      </w:pPr>
    </w:p>
    <w:p w14:paraId="4FA440BB" w14:textId="77777777" w:rsidR="001E5D40" w:rsidRDefault="001E5D40" w:rsidP="00837DE4">
      <w:pPr>
        <w:ind w:firstLine="720"/>
      </w:pPr>
    </w:p>
    <w:p w14:paraId="3A569B70" w14:textId="316A7A6C" w:rsidR="000B357C" w:rsidRDefault="000A26F5" w:rsidP="00837DE4">
      <w:pPr>
        <w:ind w:firstLine="720"/>
      </w:pPr>
      <w:r>
        <w:t>11</w:t>
      </w:r>
      <w:r w:rsidR="000B357C">
        <w:t>.1</w:t>
      </w:r>
      <w:r w:rsidR="000B357C">
        <w:tab/>
        <w:t>Criterion Details</w:t>
      </w:r>
    </w:p>
    <w:p w14:paraId="39B69E3F" w14:textId="77777777" w:rsidR="000B357C" w:rsidRDefault="000B357C" w:rsidP="00837DE4">
      <w:pPr>
        <w:ind w:firstLine="720"/>
      </w:pPr>
    </w:p>
    <w:p w14:paraId="3C772163" w14:textId="361AB89B" w:rsidR="000B357C" w:rsidRDefault="000B357C" w:rsidP="00A40508">
      <w:pPr>
        <w:pStyle w:val="ListParagraph"/>
        <w:numPr>
          <w:ilvl w:val="0"/>
          <w:numId w:val="20"/>
        </w:numPr>
        <w:ind w:left="2160"/>
      </w:pPr>
      <w:r>
        <w:t>Quality of work plan submitted</w:t>
      </w:r>
      <w:r w:rsidR="00FE4A34">
        <w:t>: Section 9.1 and 9</w:t>
      </w:r>
      <w:r w:rsidR="000A7CFA">
        <w:t>.2.</w:t>
      </w:r>
    </w:p>
    <w:p w14:paraId="1BD046A0" w14:textId="2DE93DB8" w:rsidR="000B357C" w:rsidRDefault="000B357C" w:rsidP="000B357C"/>
    <w:p w14:paraId="67F17C0E" w14:textId="114F9A03" w:rsidR="000B357C" w:rsidRDefault="000B357C" w:rsidP="00A40508">
      <w:pPr>
        <w:pStyle w:val="ListParagraph"/>
        <w:numPr>
          <w:ilvl w:val="0"/>
          <w:numId w:val="20"/>
        </w:numPr>
        <w:ind w:left="2160"/>
      </w:pPr>
      <w:r>
        <w:t>Experience on similar assignments</w:t>
      </w:r>
      <w:r w:rsidR="00DB184D">
        <w:t>: Section</w:t>
      </w:r>
      <w:r w:rsidR="00FE4A34">
        <w:t xml:space="preserve"> 9</w:t>
      </w:r>
      <w:r w:rsidR="001769A5">
        <w:t xml:space="preserve">.1, (d), (i). </w:t>
      </w:r>
    </w:p>
    <w:p w14:paraId="31803003" w14:textId="77777777" w:rsidR="000B357C" w:rsidRDefault="000B357C" w:rsidP="00837DE4">
      <w:pPr>
        <w:pStyle w:val="ListParagraph"/>
      </w:pPr>
    </w:p>
    <w:p w14:paraId="046E7AEF" w14:textId="7F58D7BC" w:rsidR="000B357C" w:rsidRDefault="000B357C" w:rsidP="00A40508">
      <w:pPr>
        <w:pStyle w:val="ListParagraph"/>
        <w:numPr>
          <w:ilvl w:val="0"/>
          <w:numId w:val="20"/>
        </w:numPr>
        <w:ind w:left="2160"/>
      </w:pPr>
      <w:r>
        <w:t>Cost</w:t>
      </w:r>
      <w:r w:rsidR="00FE4A34">
        <w:t>: Section 9</w:t>
      </w:r>
      <w:r w:rsidR="00E3504F">
        <w:t>.2</w:t>
      </w:r>
    </w:p>
    <w:p w14:paraId="0BEC447B" w14:textId="77777777" w:rsidR="000B357C" w:rsidRDefault="000B357C" w:rsidP="00837DE4">
      <w:pPr>
        <w:pStyle w:val="ListParagraph"/>
      </w:pPr>
    </w:p>
    <w:p w14:paraId="4A8279D8" w14:textId="79D0227F" w:rsidR="000B357C" w:rsidRDefault="000B357C" w:rsidP="00A40508">
      <w:pPr>
        <w:pStyle w:val="ListParagraph"/>
        <w:numPr>
          <w:ilvl w:val="0"/>
          <w:numId w:val="20"/>
        </w:numPr>
        <w:ind w:left="2160"/>
      </w:pPr>
      <w:r>
        <w:t>Acceptance of Terms and Conditions</w:t>
      </w:r>
      <w:r w:rsidR="00FE4A34">
        <w:t>: Section 9</w:t>
      </w:r>
      <w:r w:rsidR="001769A5">
        <w:t xml:space="preserve">.1, (f). </w:t>
      </w:r>
    </w:p>
    <w:p w14:paraId="176C7A99" w14:textId="77777777" w:rsidR="000B357C" w:rsidRDefault="000B357C" w:rsidP="00837DE4">
      <w:pPr>
        <w:pStyle w:val="ListParagraph"/>
      </w:pPr>
    </w:p>
    <w:p w14:paraId="3B639FF8" w14:textId="77777777" w:rsidR="00FE4A34" w:rsidRDefault="001769A5" w:rsidP="00A40508">
      <w:pPr>
        <w:pStyle w:val="ListParagraph"/>
        <w:numPr>
          <w:ilvl w:val="0"/>
          <w:numId w:val="20"/>
        </w:numPr>
        <w:ind w:left="2160"/>
      </w:pPr>
      <w:r>
        <w:t>Proposed method</w:t>
      </w:r>
      <w:r w:rsidR="00FE4A34">
        <w:t xml:space="preserve"> to complete the work: Section 9</w:t>
      </w:r>
      <w:r>
        <w:t>.1, (e).</w:t>
      </w:r>
    </w:p>
    <w:p w14:paraId="4A5D1B71" w14:textId="403138FA" w:rsidR="000B357C" w:rsidRDefault="001769A5" w:rsidP="00FE4A34">
      <w:pPr>
        <w:pStyle w:val="ListParagraph"/>
        <w:ind w:left="2160"/>
      </w:pPr>
      <w:r>
        <w:t xml:space="preserve">  </w:t>
      </w:r>
    </w:p>
    <w:p w14:paraId="6C448405" w14:textId="37D37C0A" w:rsidR="00FE4A34" w:rsidRDefault="00FE4A34" w:rsidP="00A40508">
      <w:pPr>
        <w:pStyle w:val="ListParagraph"/>
        <w:numPr>
          <w:ilvl w:val="0"/>
          <w:numId w:val="20"/>
        </w:numPr>
        <w:ind w:left="2160"/>
      </w:pPr>
      <w:r>
        <w:t>Disabled Veterans Business Enterprise Incentive: Section 14.0</w:t>
      </w:r>
    </w:p>
    <w:p w14:paraId="05EF4045" w14:textId="55729D11" w:rsidR="006562BF" w:rsidRPr="00A40508" w:rsidRDefault="006562BF" w:rsidP="00A40508">
      <w:pPr>
        <w:ind w:left="1440"/>
        <w:rPr>
          <w:b/>
          <w:bCs/>
        </w:rPr>
      </w:pP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36E51187"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E0695E">
        <w:t>Records created as part of the Contractor’s Proposal and selection processes are generally subject to California Rules of Court, Rule 10.500 and may be available to the public absent an exemption. If a Contractor’s Proposal contains material noted or marked as confidential and/or proprietary that, in the Court’s sole opinion, meets the disclosure exemption requirements of Rule 10.500, then that information will not be disclosed pursuant to a request for records. If the Court does not consider such material exempt from disclosure under Rule 10.500, the material will be made available to the public, regardless of the</w:t>
      </w:r>
      <w:r w:rsidR="00856B4A">
        <w:t xml:space="preserve"> notation or markings. If a Contractor</w:t>
      </w:r>
      <w:r w:rsidR="00E0695E">
        <w:t xml:space="preserve"> is unsure of the information contained in its SOQ or Cost Proposal Form is confidential and/or proprietary then it should not include the information in its SOQ and Cost Proposal Form. A Contractor that indiscriminately identifies all or most of its SOQ or Cost Proposal Form as exempt form disclosure however may be deemed non-responsive.</w:t>
      </w:r>
    </w:p>
    <w:p w14:paraId="08168AC6" w14:textId="0FC329F5" w:rsidR="00E6690E" w:rsidRDefault="00E6690E" w:rsidP="00837DE4">
      <w:pPr>
        <w:pStyle w:val="BodyTextIndent"/>
        <w:spacing w:after="240"/>
      </w:pPr>
    </w:p>
    <w:p w14:paraId="43712024" w14:textId="7BBFE2E7" w:rsidR="00E6690E" w:rsidRDefault="00E6690E" w:rsidP="00E6690E">
      <w:pPr>
        <w:pStyle w:val="Default"/>
        <w:rPr>
          <w:b/>
        </w:rPr>
      </w:pPr>
      <w:r w:rsidRPr="002F1509">
        <w:rPr>
          <w:b/>
        </w:rPr>
        <w:t>13.0</w:t>
      </w:r>
      <w:r w:rsidRPr="002F1509">
        <w:rPr>
          <w:b/>
        </w:rPr>
        <w:tab/>
        <w:t xml:space="preserve">SMALL BUSINESS PREFERENCE </w:t>
      </w:r>
    </w:p>
    <w:p w14:paraId="0B70B43A" w14:textId="77777777" w:rsidR="002F1509" w:rsidRPr="001E5D40" w:rsidRDefault="002F1509" w:rsidP="00E6690E">
      <w:pPr>
        <w:pStyle w:val="Default"/>
        <w:rPr>
          <w:b/>
        </w:rPr>
      </w:pPr>
    </w:p>
    <w:p w14:paraId="65EAEA3B" w14:textId="1E607FE9" w:rsidR="00E6690E" w:rsidRPr="00A40508" w:rsidRDefault="00E6690E" w:rsidP="00837DE4">
      <w:pPr>
        <w:pStyle w:val="Default"/>
        <w:ind w:left="720"/>
      </w:pPr>
      <w:r w:rsidRPr="00A40508">
        <w:t xml:space="preserve">Small business participation is not mandatory. Failure to qualify for the small business preference will not render a proposal non-responsive. </w:t>
      </w:r>
    </w:p>
    <w:p w14:paraId="7717D93F" w14:textId="77777777" w:rsidR="00E6690E" w:rsidRPr="00A40508" w:rsidRDefault="00E6690E" w:rsidP="00837DE4">
      <w:pPr>
        <w:pStyle w:val="Default"/>
        <w:ind w:left="720"/>
      </w:pPr>
    </w:p>
    <w:p w14:paraId="0028BB85" w14:textId="5B43020A" w:rsidR="00E6690E" w:rsidRPr="00A40508" w:rsidRDefault="00E6690E" w:rsidP="00837DE4">
      <w:pPr>
        <w:pStyle w:val="Default"/>
        <w:ind w:left="720"/>
      </w:pPr>
      <w:r w:rsidRPr="00A40508">
        <w:t xml:space="preserve">Eligibility for and application of the small business preference is governed by the Court’s Small Business Preference Procedures for the Procurement of Information Technology Goods and Services. The Prospective Bidder will receive a small business preference if, in the Court’s sole determination, the Prospective Bidder has met all applicable requirements. If the Prospective Bidder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 </w:t>
      </w:r>
    </w:p>
    <w:p w14:paraId="34B21DE3" w14:textId="77777777" w:rsidR="00E6690E" w:rsidRPr="00A40508" w:rsidRDefault="00E6690E" w:rsidP="00837DE4">
      <w:pPr>
        <w:pStyle w:val="Default"/>
        <w:ind w:left="360"/>
      </w:pPr>
    </w:p>
    <w:p w14:paraId="4D2D4E81" w14:textId="35AE87E0" w:rsidR="00E6690E" w:rsidRPr="001E5D40" w:rsidRDefault="00E6690E" w:rsidP="00E6690E">
      <w:pPr>
        <w:pStyle w:val="BodyTextIndent"/>
        <w:spacing w:after="240"/>
        <w:ind w:left="720"/>
      </w:pPr>
      <w:r w:rsidRPr="00A40508">
        <w:t>To receive the small business preference, the Prospective Bidder must be either (i) a Department of General Services (“DGS”) certified small business or microbusiness performing a commercially useful function, or (ii) a DGS-certified small business nonprofit veteran service agency.</w:t>
      </w:r>
    </w:p>
    <w:p w14:paraId="5C002722" w14:textId="295A5FAE" w:rsidR="00825BC4" w:rsidRDefault="002F1509" w:rsidP="00825BC4">
      <w:pPr>
        <w:keepNext/>
        <w:ind w:left="720" w:hanging="720"/>
        <w:rPr>
          <w:b/>
          <w:bCs/>
        </w:rPr>
      </w:pPr>
      <w:r>
        <w:rPr>
          <w:b/>
          <w:bCs/>
        </w:rPr>
        <w:t>14</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7E883FDF" w14:textId="277228F2" w:rsidR="00E0695E" w:rsidRDefault="00E0695E" w:rsidP="00837DE4">
      <w:pPr>
        <w:pStyle w:val="Default"/>
        <w:ind w:left="720"/>
        <w:rPr>
          <w:sz w:val="23"/>
          <w:szCs w:val="23"/>
        </w:rPr>
      </w:pPr>
      <w:r>
        <w:rPr>
          <w:sz w:val="23"/>
          <w:szCs w:val="23"/>
        </w:rPr>
        <w:t xml:space="preserve">Qualification for the DVBE incentive is not mandatory. Failure to qualify for the DVBE incentive will not render a proposal non-responsive. </w:t>
      </w:r>
    </w:p>
    <w:p w14:paraId="61998B60" w14:textId="77777777" w:rsidR="00E0695E" w:rsidRDefault="00E0695E" w:rsidP="00E0695E">
      <w:pPr>
        <w:pStyle w:val="Default"/>
        <w:rPr>
          <w:sz w:val="23"/>
          <w:szCs w:val="23"/>
        </w:rPr>
      </w:pPr>
    </w:p>
    <w:p w14:paraId="4C0741A0" w14:textId="482F1C25" w:rsidR="00E0695E" w:rsidRDefault="00E0695E" w:rsidP="00837DE4">
      <w:pPr>
        <w:pStyle w:val="Default"/>
        <w:ind w:left="720"/>
        <w:rPr>
          <w:sz w:val="23"/>
          <w:szCs w:val="23"/>
        </w:rPr>
      </w:pPr>
      <w:r>
        <w:rPr>
          <w:sz w:val="23"/>
          <w:szCs w:val="23"/>
        </w:rPr>
        <w:t xml:space="preserve">Eligibility for and application of the DVBE incentive is governed by the Court’s DVBE Rules and Procedures. Prospective Bidder will receive a DVBE incentive if, in the Court’s sole determination, Prospective Bidder has met all applicable requirements. If Prospective Bidder receives the DVBE incentive, a number of points will be added to the score assigned to Prospective Bidder’s proposal. The number of points that will be added is specified in </w:t>
      </w:r>
      <w:r w:rsidR="00384CFF" w:rsidRPr="00FE4A34">
        <w:rPr>
          <w:bCs/>
          <w:sz w:val="23"/>
          <w:szCs w:val="23"/>
        </w:rPr>
        <w:t>Section 11</w:t>
      </w:r>
      <w:r w:rsidRPr="00FE4A34">
        <w:rPr>
          <w:bCs/>
          <w:sz w:val="23"/>
          <w:szCs w:val="23"/>
        </w:rPr>
        <w:t>.0</w:t>
      </w:r>
      <w:r>
        <w:rPr>
          <w:b/>
          <w:bCs/>
          <w:sz w:val="23"/>
          <w:szCs w:val="23"/>
        </w:rPr>
        <w:t xml:space="preserve"> </w:t>
      </w:r>
      <w:r>
        <w:rPr>
          <w:sz w:val="23"/>
          <w:szCs w:val="23"/>
        </w:rPr>
        <w:t xml:space="preserve">above. </w:t>
      </w:r>
    </w:p>
    <w:p w14:paraId="0B211AD0" w14:textId="77777777" w:rsidR="00E0695E" w:rsidRDefault="00E0695E" w:rsidP="00E0695E">
      <w:pPr>
        <w:pStyle w:val="Default"/>
        <w:rPr>
          <w:sz w:val="23"/>
          <w:szCs w:val="23"/>
        </w:rPr>
      </w:pPr>
    </w:p>
    <w:p w14:paraId="0F123416" w14:textId="4C3ED95C" w:rsidR="00257115" w:rsidRPr="00336ABC" w:rsidRDefault="00E0695E" w:rsidP="00E0695E">
      <w:pPr>
        <w:pStyle w:val="BodyText"/>
        <w:ind w:left="720"/>
        <w:rPr>
          <w:i/>
          <w:color w:val="FF0000"/>
        </w:rPr>
      </w:pPr>
      <w:r>
        <w:rPr>
          <w:sz w:val="23"/>
          <w:szCs w:val="23"/>
        </w:rPr>
        <w:t xml:space="preserve">A DVBE incentive of 3% is open to all DVBE (Disabled Veteran Business Enterprise) vendors participating in this solicitation. Vendor’s applicable for the DVBE incentive, must complete </w:t>
      </w:r>
      <w:r w:rsidR="00C83EC6" w:rsidRPr="00C31058">
        <w:rPr>
          <w:bCs/>
          <w:sz w:val="23"/>
          <w:szCs w:val="23"/>
        </w:rPr>
        <w:t>Attachment</w:t>
      </w:r>
      <w:r w:rsidR="00C83EC6">
        <w:rPr>
          <w:b/>
          <w:bCs/>
          <w:sz w:val="23"/>
          <w:szCs w:val="23"/>
        </w:rPr>
        <w:t xml:space="preserve"> </w:t>
      </w:r>
      <w:r w:rsidR="00C83EC6" w:rsidRPr="00C31058">
        <w:rPr>
          <w:bCs/>
          <w:sz w:val="23"/>
          <w:szCs w:val="23"/>
        </w:rPr>
        <w:t>9</w:t>
      </w:r>
      <w:r>
        <w:rPr>
          <w:b/>
          <w:bCs/>
          <w:sz w:val="23"/>
          <w:szCs w:val="23"/>
        </w:rPr>
        <w:t xml:space="preserve"> </w:t>
      </w:r>
      <w:r>
        <w:rPr>
          <w:sz w:val="23"/>
          <w:szCs w:val="23"/>
        </w:rPr>
        <w:t xml:space="preserve">(Bidder’s Declaration form) and </w:t>
      </w:r>
      <w:r w:rsidRPr="00C31058">
        <w:rPr>
          <w:bCs/>
          <w:sz w:val="23"/>
          <w:szCs w:val="23"/>
        </w:rPr>
        <w:t xml:space="preserve">Attachment </w:t>
      </w:r>
      <w:r w:rsidR="00C83EC6" w:rsidRPr="00C31058">
        <w:rPr>
          <w:bCs/>
          <w:sz w:val="23"/>
          <w:szCs w:val="23"/>
        </w:rPr>
        <w:t>10</w:t>
      </w:r>
      <w:r w:rsidR="00C31058">
        <w:rPr>
          <w:bCs/>
          <w:sz w:val="23"/>
          <w:szCs w:val="23"/>
        </w:rPr>
        <w:t xml:space="preserve"> </w:t>
      </w:r>
      <w:r>
        <w:rPr>
          <w:sz w:val="23"/>
          <w:szCs w:val="23"/>
        </w:rPr>
        <w:t>(DVBE Declaration). Please submit the form along with the RFP for review.</w:t>
      </w:r>
    </w:p>
    <w:p w14:paraId="4864D9A7" w14:textId="054CB640" w:rsidR="00053778" w:rsidRPr="0046465F" w:rsidRDefault="002F1509"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60D2A231"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50172F">
        <w:rPr>
          <w:color w:val="000000" w:themeColor="text1"/>
        </w:rPr>
        <w:t>Court</w:t>
      </w:r>
      <w:r w:rsidRPr="005A3E81">
        <w:rPr>
          <w:color w:val="000000" w:themeColor="text1"/>
        </w:rPr>
        <w:t xml:space="preserve"> to receive a solicit</w:t>
      </w:r>
      <w:r w:rsidR="00E913BC">
        <w:rPr>
          <w:color w:val="000000" w:themeColor="text1"/>
        </w:rPr>
        <w:t xml:space="preserve">ation specifications protest is </w:t>
      </w:r>
      <w:r w:rsidR="00E45B78" w:rsidRPr="00E913BC">
        <w:rPr>
          <w:color w:val="000000" w:themeColor="text1"/>
        </w:rPr>
        <w:t>the proposal due date</w:t>
      </w:r>
      <w:r w:rsidR="00E913BC">
        <w:rPr>
          <w:color w:val="000000" w:themeColor="text1"/>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7DB66261" w14:textId="4AC42EAE" w:rsidR="00D64684" w:rsidRPr="00E913BC" w:rsidRDefault="00E913BC">
      <w:pPr>
        <w:ind w:left="1440"/>
        <w:rPr>
          <w:b/>
          <w:color w:val="000000" w:themeColor="text1"/>
        </w:rPr>
      </w:pPr>
      <w:r w:rsidRPr="00E913BC">
        <w:rPr>
          <w:b/>
          <w:color w:val="000000" w:themeColor="text1"/>
        </w:rPr>
        <w:t>Superior Court of California, County of Alameda</w:t>
      </w:r>
    </w:p>
    <w:p w14:paraId="7C15E43B" w14:textId="5A860C91" w:rsidR="00E913BC" w:rsidRDefault="00E913BC">
      <w:pPr>
        <w:ind w:left="1440"/>
        <w:rPr>
          <w:color w:val="000000" w:themeColor="text1"/>
        </w:rPr>
      </w:pPr>
      <w:r>
        <w:rPr>
          <w:color w:val="000000" w:themeColor="text1"/>
        </w:rPr>
        <w:t>Finance and Facilities</w:t>
      </w:r>
      <w:r w:rsidR="00AF3A84">
        <w:rPr>
          <w:color w:val="000000" w:themeColor="text1"/>
        </w:rPr>
        <w:t xml:space="preserve"> Division</w:t>
      </w:r>
    </w:p>
    <w:p w14:paraId="1AC6A240" w14:textId="0F1EB17C" w:rsidR="00E913BC" w:rsidRDefault="00E913BC">
      <w:pPr>
        <w:ind w:left="1440"/>
        <w:rPr>
          <w:color w:val="000000" w:themeColor="text1"/>
        </w:rPr>
      </w:pPr>
      <w:r>
        <w:rPr>
          <w:color w:val="000000" w:themeColor="text1"/>
        </w:rPr>
        <w:t>Attn: Procurement</w:t>
      </w:r>
    </w:p>
    <w:p w14:paraId="278B95D3" w14:textId="74419FC3" w:rsidR="00E913BC" w:rsidRPr="00E913BC" w:rsidRDefault="00E913BC">
      <w:pPr>
        <w:ind w:left="1440"/>
        <w:rPr>
          <w:b/>
          <w:color w:val="000000" w:themeColor="text1"/>
        </w:rPr>
      </w:pPr>
      <w:r w:rsidRPr="00E913BC">
        <w:rPr>
          <w:b/>
          <w:color w:val="000000" w:themeColor="text1"/>
        </w:rPr>
        <w:t>RFP SC 1806.2020.2</w:t>
      </w:r>
    </w:p>
    <w:p w14:paraId="149AF1A1" w14:textId="41083628" w:rsidR="00E913BC" w:rsidRDefault="00E913BC">
      <w:pPr>
        <w:ind w:left="1440"/>
        <w:rPr>
          <w:color w:val="000000" w:themeColor="text1"/>
        </w:rPr>
      </w:pPr>
      <w:r>
        <w:rPr>
          <w:color w:val="000000" w:themeColor="text1"/>
        </w:rPr>
        <w:t>1225 Fallon St., Room 210</w:t>
      </w:r>
    </w:p>
    <w:p w14:paraId="73127C49" w14:textId="6E88532B" w:rsidR="00E913BC" w:rsidRDefault="00E913BC">
      <w:pPr>
        <w:ind w:left="1440"/>
        <w:rPr>
          <w:color w:val="000000" w:themeColor="text1"/>
        </w:rPr>
      </w:pPr>
      <w:r>
        <w:rPr>
          <w:color w:val="000000" w:themeColor="text1"/>
        </w:rPr>
        <w:t>Oakland, CA 94612</w:t>
      </w:r>
    </w:p>
    <w:p w14:paraId="7703BF79" w14:textId="77777777" w:rsidR="00E913BC" w:rsidRDefault="00E913BC">
      <w:pPr>
        <w:ind w:left="1440"/>
      </w:pPr>
    </w:p>
    <w:p w14:paraId="58E91654" w14:textId="77777777" w:rsidR="003E565D" w:rsidRDefault="003E565D"/>
    <w:p w14:paraId="010A6E5C" w14:textId="77777777" w:rsidR="003E565D" w:rsidRDefault="003E565D"/>
    <w:sectPr w:rsidR="003E565D" w:rsidSect="0088206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A7C9" w14:textId="77777777" w:rsidR="00E52A5E" w:rsidRDefault="00E52A5E" w:rsidP="00C37FF7">
      <w:r>
        <w:separator/>
      </w:r>
    </w:p>
  </w:endnote>
  <w:endnote w:type="continuationSeparator" w:id="0">
    <w:p w14:paraId="5826BF3E" w14:textId="77777777" w:rsidR="00E52A5E" w:rsidRDefault="00E52A5E"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80372"/>
      <w:docPartObj>
        <w:docPartGallery w:val="Page Numbers (Bottom of Page)"/>
        <w:docPartUnique/>
      </w:docPartObj>
    </w:sdtPr>
    <w:sdtEndPr>
      <w:rPr>
        <w:noProof/>
      </w:rPr>
    </w:sdtEndPr>
    <w:sdtContent>
      <w:p w14:paraId="24DF2784" w14:textId="54208E0C" w:rsidR="0093149F" w:rsidRDefault="0093149F">
        <w:pPr>
          <w:pStyle w:val="Footer"/>
          <w:jc w:val="center"/>
        </w:pPr>
        <w:r>
          <w:fldChar w:fldCharType="begin"/>
        </w:r>
        <w:r>
          <w:instrText xml:space="preserve"> PAGE   \* MERGEFORMAT </w:instrText>
        </w:r>
        <w:r>
          <w:fldChar w:fldCharType="separate"/>
        </w:r>
        <w:r w:rsidR="00B32ADF">
          <w:rPr>
            <w:noProof/>
          </w:rPr>
          <w:t>1</w:t>
        </w:r>
        <w:r>
          <w:rPr>
            <w:noProof/>
          </w:rPr>
          <w:fldChar w:fldCharType="end"/>
        </w:r>
      </w:p>
    </w:sdtContent>
  </w:sdt>
  <w:p w14:paraId="327A2A55" w14:textId="77777777" w:rsidR="0093149F" w:rsidRDefault="00931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E8C15" w14:textId="77777777" w:rsidR="00E52A5E" w:rsidRDefault="00E52A5E" w:rsidP="00C37FF7">
      <w:r>
        <w:separator/>
      </w:r>
    </w:p>
  </w:footnote>
  <w:footnote w:type="continuationSeparator" w:id="0">
    <w:p w14:paraId="762C4352" w14:textId="77777777" w:rsidR="00E52A5E" w:rsidRDefault="00E52A5E"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70AB" w14:textId="77777777" w:rsidR="0093149F" w:rsidRPr="00A40508" w:rsidRDefault="0093149F" w:rsidP="00C37FF7">
    <w:pPr>
      <w:pStyle w:val="CommentText"/>
      <w:tabs>
        <w:tab w:val="left" w:pos="1242"/>
      </w:tabs>
      <w:ind w:right="252"/>
      <w:jc w:val="both"/>
      <w:rPr>
        <w:sz w:val="22"/>
        <w:szCs w:val="22"/>
      </w:rPr>
    </w:pPr>
    <w:r w:rsidRPr="003C5025">
      <w:t xml:space="preserve">RFP Title:  </w:t>
    </w:r>
    <w:r w:rsidRPr="00A40508">
      <w:rPr>
        <w:sz w:val="22"/>
        <w:szCs w:val="22"/>
      </w:rPr>
      <w:t xml:space="preserve">  Painting Services</w:t>
    </w:r>
  </w:p>
  <w:p w14:paraId="26183F04" w14:textId="77777777" w:rsidR="0093149F" w:rsidRPr="00A40508" w:rsidRDefault="0093149F" w:rsidP="00C37FF7">
    <w:pPr>
      <w:pStyle w:val="CommentText"/>
      <w:tabs>
        <w:tab w:val="left" w:pos="1242"/>
      </w:tabs>
      <w:ind w:right="252"/>
      <w:jc w:val="both"/>
      <w:rPr>
        <w:sz w:val="22"/>
        <w:szCs w:val="22"/>
      </w:rPr>
    </w:pPr>
    <w:r w:rsidRPr="003C5025">
      <w:t>RFP Number:</w:t>
    </w:r>
    <w:r w:rsidRPr="00A40508">
      <w:t xml:space="preserve">  </w:t>
    </w:r>
    <w:r w:rsidRPr="00A40508">
      <w:rPr>
        <w:sz w:val="22"/>
        <w:szCs w:val="22"/>
      </w:rPr>
      <w:t xml:space="preserve"> RFP SC 1806.2020.2</w:t>
    </w:r>
  </w:p>
  <w:p w14:paraId="0B364FB4" w14:textId="77777777" w:rsidR="0093149F" w:rsidRDefault="0093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34"/>
    <w:multiLevelType w:val="hybridMultilevel"/>
    <w:tmpl w:val="C5BEAF20"/>
    <w:lvl w:ilvl="0" w:tplc="36A4C40E">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D8675E7"/>
    <w:multiLevelType w:val="hybridMultilevel"/>
    <w:tmpl w:val="E97A696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F70ACE"/>
    <w:multiLevelType w:val="hybridMultilevel"/>
    <w:tmpl w:val="48FC80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980CA6"/>
    <w:multiLevelType w:val="hybridMultilevel"/>
    <w:tmpl w:val="D1203B7C"/>
    <w:lvl w:ilvl="0" w:tplc="66067B96">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4A7A04"/>
    <w:multiLevelType w:val="multilevel"/>
    <w:tmpl w:val="9E2A2F44"/>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6" w15:restartNumberingAfterBreak="0">
    <w:nsid w:val="2ABA6AD6"/>
    <w:multiLevelType w:val="hybridMultilevel"/>
    <w:tmpl w:val="AB36B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595D33"/>
    <w:multiLevelType w:val="hybridMultilevel"/>
    <w:tmpl w:val="FB76A1B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FBE4E35"/>
    <w:multiLevelType w:val="hybridMultilevel"/>
    <w:tmpl w:val="2A0EABBC"/>
    <w:lvl w:ilvl="0" w:tplc="F8F0BC58">
      <w:start w:val="5"/>
      <w:numFmt w:val="decimal"/>
      <w:lvlText w:val="5.%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FF916CC"/>
    <w:multiLevelType w:val="hybridMultilevel"/>
    <w:tmpl w:val="AA286C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93E4191"/>
    <w:multiLevelType w:val="hybridMultilevel"/>
    <w:tmpl w:val="2318A99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045CD8"/>
    <w:multiLevelType w:val="hybridMultilevel"/>
    <w:tmpl w:val="961081CC"/>
    <w:lvl w:ilvl="0" w:tplc="1430CF3A">
      <w:start w:val="1"/>
      <w:numFmt w:val="decimal"/>
      <w:lvlText w:val="6.%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47A20"/>
    <w:multiLevelType w:val="hybridMultilevel"/>
    <w:tmpl w:val="D1B240FA"/>
    <w:lvl w:ilvl="0" w:tplc="5902269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D55DD2"/>
    <w:multiLevelType w:val="hybridMultilevel"/>
    <w:tmpl w:val="2D44C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F2393B"/>
    <w:multiLevelType w:val="multilevel"/>
    <w:tmpl w:val="699AA730"/>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836E56"/>
    <w:multiLevelType w:val="hybridMultilevel"/>
    <w:tmpl w:val="4D6CAC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650A36"/>
    <w:multiLevelType w:val="hybridMultilevel"/>
    <w:tmpl w:val="E7A8A08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627D2712"/>
    <w:multiLevelType w:val="hybridMultilevel"/>
    <w:tmpl w:val="51BC0A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9E94C16"/>
    <w:multiLevelType w:val="hybridMultilevel"/>
    <w:tmpl w:val="6180DB04"/>
    <w:lvl w:ilvl="0" w:tplc="4BBE4178">
      <w:start w:val="1"/>
      <w:numFmt w:val="decimal"/>
      <w:lvlText w:val="%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0A3731"/>
    <w:multiLevelType w:val="hybridMultilevel"/>
    <w:tmpl w:val="18D0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7"/>
  </w:num>
  <w:num w:numId="4">
    <w:abstractNumId w:val="22"/>
  </w:num>
  <w:num w:numId="5">
    <w:abstractNumId w:val="1"/>
  </w:num>
  <w:num w:numId="6">
    <w:abstractNumId w:val="24"/>
  </w:num>
  <w:num w:numId="7">
    <w:abstractNumId w:val="15"/>
  </w:num>
  <w:num w:numId="8">
    <w:abstractNumId w:val="7"/>
  </w:num>
  <w:num w:numId="9">
    <w:abstractNumId w:val="11"/>
  </w:num>
  <w:num w:numId="10">
    <w:abstractNumId w:val="20"/>
  </w:num>
  <w:num w:numId="11">
    <w:abstractNumId w:val="16"/>
  </w:num>
  <w:num w:numId="12">
    <w:abstractNumId w:val="5"/>
  </w:num>
  <w:num w:numId="13">
    <w:abstractNumId w:val="10"/>
  </w:num>
  <w:num w:numId="14">
    <w:abstractNumId w:val="3"/>
  </w:num>
  <w:num w:numId="15">
    <w:abstractNumId w:val="21"/>
  </w:num>
  <w:num w:numId="16">
    <w:abstractNumId w:val="12"/>
  </w:num>
  <w:num w:numId="17">
    <w:abstractNumId w:val="28"/>
  </w:num>
  <w:num w:numId="18">
    <w:abstractNumId w:val="2"/>
  </w:num>
  <w:num w:numId="19">
    <w:abstractNumId w:val="0"/>
  </w:num>
  <w:num w:numId="20">
    <w:abstractNumId w:val="14"/>
  </w:num>
  <w:num w:numId="21">
    <w:abstractNumId w:val="23"/>
  </w:num>
  <w:num w:numId="22">
    <w:abstractNumId w:val="25"/>
  </w:num>
  <w:num w:numId="23">
    <w:abstractNumId w:val="8"/>
  </w:num>
  <w:num w:numId="24">
    <w:abstractNumId w:val="18"/>
  </w:num>
  <w:num w:numId="25">
    <w:abstractNumId w:val="6"/>
  </w:num>
  <w:num w:numId="26">
    <w:abstractNumId w:val="27"/>
  </w:num>
  <w:num w:numId="27">
    <w:abstractNumId w:val="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242BB"/>
    <w:rsid w:val="00025473"/>
    <w:rsid w:val="0002633D"/>
    <w:rsid w:val="00033354"/>
    <w:rsid w:val="000337F3"/>
    <w:rsid w:val="0003447B"/>
    <w:rsid w:val="000356BE"/>
    <w:rsid w:val="00043262"/>
    <w:rsid w:val="00043B5C"/>
    <w:rsid w:val="00053778"/>
    <w:rsid w:val="00061655"/>
    <w:rsid w:val="00070FCA"/>
    <w:rsid w:val="000759C4"/>
    <w:rsid w:val="00080391"/>
    <w:rsid w:val="00082230"/>
    <w:rsid w:val="000906D4"/>
    <w:rsid w:val="0009173E"/>
    <w:rsid w:val="000969C7"/>
    <w:rsid w:val="000A18ED"/>
    <w:rsid w:val="000A26F5"/>
    <w:rsid w:val="000A3451"/>
    <w:rsid w:val="000A7CFA"/>
    <w:rsid w:val="000B0813"/>
    <w:rsid w:val="000B357C"/>
    <w:rsid w:val="000B3764"/>
    <w:rsid w:val="000B4E66"/>
    <w:rsid w:val="000B50F0"/>
    <w:rsid w:val="000B785B"/>
    <w:rsid w:val="000D43CC"/>
    <w:rsid w:val="000D4C75"/>
    <w:rsid w:val="000D5FD6"/>
    <w:rsid w:val="000D7C44"/>
    <w:rsid w:val="000E14BB"/>
    <w:rsid w:val="000E1E6A"/>
    <w:rsid w:val="000F01FB"/>
    <w:rsid w:val="000F04FA"/>
    <w:rsid w:val="000F0E2D"/>
    <w:rsid w:val="000F7DC9"/>
    <w:rsid w:val="001001B2"/>
    <w:rsid w:val="00101C48"/>
    <w:rsid w:val="001058F3"/>
    <w:rsid w:val="00105F4B"/>
    <w:rsid w:val="00112473"/>
    <w:rsid w:val="00124B79"/>
    <w:rsid w:val="0012621F"/>
    <w:rsid w:val="001303B1"/>
    <w:rsid w:val="001305A5"/>
    <w:rsid w:val="00133F5A"/>
    <w:rsid w:val="00142C87"/>
    <w:rsid w:val="00143D24"/>
    <w:rsid w:val="00147980"/>
    <w:rsid w:val="00150F94"/>
    <w:rsid w:val="00151BA9"/>
    <w:rsid w:val="001564A5"/>
    <w:rsid w:val="00157C69"/>
    <w:rsid w:val="00161C8D"/>
    <w:rsid w:val="00164636"/>
    <w:rsid w:val="00165681"/>
    <w:rsid w:val="00166197"/>
    <w:rsid w:val="00170DC4"/>
    <w:rsid w:val="00173CFE"/>
    <w:rsid w:val="001769A5"/>
    <w:rsid w:val="00181FDA"/>
    <w:rsid w:val="001A3573"/>
    <w:rsid w:val="001A5231"/>
    <w:rsid w:val="001A5470"/>
    <w:rsid w:val="001A6325"/>
    <w:rsid w:val="001B29F7"/>
    <w:rsid w:val="001E5D40"/>
    <w:rsid w:val="001E612A"/>
    <w:rsid w:val="001F2667"/>
    <w:rsid w:val="001F66A6"/>
    <w:rsid w:val="0020192C"/>
    <w:rsid w:val="00201D27"/>
    <w:rsid w:val="00204B2E"/>
    <w:rsid w:val="002102F5"/>
    <w:rsid w:val="00216A46"/>
    <w:rsid w:val="00225BDB"/>
    <w:rsid w:val="00227F66"/>
    <w:rsid w:val="00233D32"/>
    <w:rsid w:val="002360F7"/>
    <w:rsid w:val="00246470"/>
    <w:rsid w:val="00251CC8"/>
    <w:rsid w:val="00253633"/>
    <w:rsid w:val="00253E0F"/>
    <w:rsid w:val="00254CFA"/>
    <w:rsid w:val="00257115"/>
    <w:rsid w:val="00261E32"/>
    <w:rsid w:val="002622C4"/>
    <w:rsid w:val="00262320"/>
    <w:rsid w:val="0027498F"/>
    <w:rsid w:val="00292053"/>
    <w:rsid w:val="002937D3"/>
    <w:rsid w:val="002B4E15"/>
    <w:rsid w:val="002B6580"/>
    <w:rsid w:val="002C1174"/>
    <w:rsid w:val="002C16EA"/>
    <w:rsid w:val="002C3530"/>
    <w:rsid w:val="002C4C95"/>
    <w:rsid w:val="002C64BD"/>
    <w:rsid w:val="002C658D"/>
    <w:rsid w:val="002D07F1"/>
    <w:rsid w:val="002E3F50"/>
    <w:rsid w:val="002E543F"/>
    <w:rsid w:val="002E6E9D"/>
    <w:rsid w:val="002E7965"/>
    <w:rsid w:val="002F1509"/>
    <w:rsid w:val="002F2858"/>
    <w:rsid w:val="003020A2"/>
    <w:rsid w:val="00303B35"/>
    <w:rsid w:val="003070CF"/>
    <w:rsid w:val="0031272D"/>
    <w:rsid w:val="00313B18"/>
    <w:rsid w:val="0032125D"/>
    <w:rsid w:val="00327099"/>
    <w:rsid w:val="0032785B"/>
    <w:rsid w:val="00332EB5"/>
    <w:rsid w:val="00333A7A"/>
    <w:rsid w:val="003364C3"/>
    <w:rsid w:val="00336ABC"/>
    <w:rsid w:val="0036121D"/>
    <w:rsid w:val="003670B6"/>
    <w:rsid w:val="00370461"/>
    <w:rsid w:val="00370DE4"/>
    <w:rsid w:val="00381806"/>
    <w:rsid w:val="00384CFF"/>
    <w:rsid w:val="00395B94"/>
    <w:rsid w:val="003A08AD"/>
    <w:rsid w:val="003A35AB"/>
    <w:rsid w:val="003A4D99"/>
    <w:rsid w:val="003A50E1"/>
    <w:rsid w:val="003C14B3"/>
    <w:rsid w:val="003C249E"/>
    <w:rsid w:val="003C5025"/>
    <w:rsid w:val="003C69E1"/>
    <w:rsid w:val="003C7265"/>
    <w:rsid w:val="003D035E"/>
    <w:rsid w:val="003D1030"/>
    <w:rsid w:val="003D36DB"/>
    <w:rsid w:val="003D5784"/>
    <w:rsid w:val="003E46FF"/>
    <w:rsid w:val="003E4B31"/>
    <w:rsid w:val="003E5035"/>
    <w:rsid w:val="003E565D"/>
    <w:rsid w:val="003F6061"/>
    <w:rsid w:val="004006B7"/>
    <w:rsid w:val="00400CA2"/>
    <w:rsid w:val="00401F22"/>
    <w:rsid w:val="00407A6E"/>
    <w:rsid w:val="00415DEC"/>
    <w:rsid w:val="00433D3C"/>
    <w:rsid w:val="00434F85"/>
    <w:rsid w:val="00435925"/>
    <w:rsid w:val="0044047E"/>
    <w:rsid w:val="004425FB"/>
    <w:rsid w:val="00444491"/>
    <w:rsid w:val="00447B71"/>
    <w:rsid w:val="00453690"/>
    <w:rsid w:val="00455358"/>
    <w:rsid w:val="00455AF9"/>
    <w:rsid w:val="00462BB6"/>
    <w:rsid w:val="00463019"/>
    <w:rsid w:val="00463A1B"/>
    <w:rsid w:val="00467723"/>
    <w:rsid w:val="004766B2"/>
    <w:rsid w:val="004812BB"/>
    <w:rsid w:val="00491783"/>
    <w:rsid w:val="00494EC2"/>
    <w:rsid w:val="00495AD1"/>
    <w:rsid w:val="004A0B95"/>
    <w:rsid w:val="004A18A3"/>
    <w:rsid w:val="004A337A"/>
    <w:rsid w:val="004B38F7"/>
    <w:rsid w:val="004B52C4"/>
    <w:rsid w:val="004B60B0"/>
    <w:rsid w:val="004C396A"/>
    <w:rsid w:val="004D058C"/>
    <w:rsid w:val="004D7C72"/>
    <w:rsid w:val="004E669D"/>
    <w:rsid w:val="004F132A"/>
    <w:rsid w:val="004F4E91"/>
    <w:rsid w:val="0050172F"/>
    <w:rsid w:val="00501FBB"/>
    <w:rsid w:val="00501FF0"/>
    <w:rsid w:val="0050293C"/>
    <w:rsid w:val="00510171"/>
    <w:rsid w:val="0051287D"/>
    <w:rsid w:val="005236D7"/>
    <w:rsid w:val="005238E0"/>
    <w:rsid w:val="00527B78"/>
    <w:rsid w:val="00532899"/>
    <w:rsid w:val="00533BA4"/>
    <w:rsid w:val="00543187"/>
    <w:rsid w:val="00553EDA"/>
    <w:rsid w:val="00567CFE"/>
    <w:rsid w:val="0057314B"/>
    <w:rsid w:val="0057317D"/>
    <w:rsid w:val="00574253"/>
    <w:rsid w:val="00591C14"/>
    <w:rsid w:val="005946B6"/>
    <w:rsid w:val="005949A7"/>
    <w:rsid w:val="00595811"/>
    <w:rsid w:val="00595822"/>
    <w:rsid w:val="00597C4A"/>
    <w:rsid w:val="005A0CA0"/>
    <w:rsid w:val="005A6551"/>
    <w:rsid w:val="005B04DF"/>
    <w:rsid w:val="005D4F27"/>
    <w:rsid w:val="005D6D18"/>
    <w:rsid w:val="005E2E71"/>
    <w:rsid w:val="005E4C47"/>
    <w:rsid w:val="005F3F8D"/>
    <w:rsid w:val="005F4CC3"/>
    <w:rsid w:val="005F597D"/>
    <w:rsid w:val="005F5C25"/>
    <w:rsid w:val="005F6E88"/>
    <w:rsid w:val="00603463"/>
    <w:rsid w:val="00604B33"/>
    <w:rsid w:val="00606E1C"/>
    <w:rsid w:val="00611C76"/>
    <w:rsid w:val="0061505A"/>
    <w:rsid w:val="00624AEA"/>
    <w:rsid w:val="00626B27"/>
    <w:rsid w:val="00626BA5"/>
    <w:rsid w:val="00631615"/>
    <w:rsid w:val="00640DD7"/>
    <w:rsid w:val="00646261"/>
    <w:rsid w:val="00646A0E"/>
    <w:rsid w:val="00652F20"/>
    <w:rsid w:val="006537F3"/>
    <w:rsid w:val="006562BF"/>
    <w:rsid w:val="00656FCE"/>
    <w:rsid w:val="00662A31"/>
    <w:rsid w:val="00663030"/>
    <w:rsid w:val="00675C38"/>
    <w:rsid w:val="006822FA"/>
    <w:rsid w:val="0068288F"/>
    <w:rsid w:val="006A278D"/>
    <w:rsid w:val="006A400E"/>
    <w:rsid w:val="006B572B"/>
    <w:rsid w:val="006B58BD"/>
    <w:rsid w:val="006C1D3B"/>
    <w:rsid w:val="006C384C"/>
    <w:rsid w:val="006D02BE"/>
    <w:rsid w:val="006D1C19"/>
    <w:rsid w:val="006D2A8E"/>
    <w:rsid w:val="006D377D"/>
    <w:rsid w:val="006D6F0B"/>
    <w:rsid w:val="006E1F73"/>
    <w:rsid w:val="006E24D0"/>
    <w:rsid w:val="006F0B7C"/>
    <w:rsid w:val="006F1965"/>
    <w:rsid w:val="006F675A"/>
    <w:rsid w:val="006F6D6E"/>
    <w:rsid w:val="00700F34"/>
    <w:rsid w:val="00713D6F"/>
    <w:rsid w:val="0071453E"/>
    <w:rsid w:val="00720D3F"/>
    <w:rsid w:val="00721EA4"/>
    <w:rsid w:val="00735607"/>
    <w:rsid w:val="00735F39"/>
    <w:rsid w:val="00736338"/>
    <w:rsid w:val="0075335D"/>
    <w:rsid w:val="00753F60"/>
    <w:rsid w:val="00755DAB"/>
    <w:rsid w:val="00763214"/>
    <w:rsid w:val="00776870"/>
    <w:rsid w:val="00776957"/>
    <w:rsid w:val="00780F9C"/>
    <w:rsid w:val="00782800"/>
    <w:rsid w:val="007A0851"/>
    <w:rsid w:val="007A1258"/>
    <w:rsid w:val="007A18D1"/>
    <w:rsid w:val="007A515F"/>
    <w:rsid w:val="007A54C2"/>
    <w:rsid w:val="007A73C0"/>
    <w:rsid w:val="007A7C95"/>
    <w:rsid w:val="007B0E96"/>
    <w:rsid w:val="007B6407"/>
    <w:rsid w:val="007B7AC8"/>
    <w:rsid w:val="007C41DF"/>
    <w:rsid w:val="007C4712"/>
    <w:rsid w:val="007D71AD"/>
    <w:rsid w:val="007F02D8"/>
    <w:rsid w:val="007F1535"/>
    <w:rsid w:val="007F17FC"/>
    <w:rsid w:val="007F2DE9"/>
    <w:rsid w:val="0080611E"/>
    <w:rsid w:val="00806692"/>
    <w:rsid w:val="00825BC4"/>
    <w:rsid w:val="008271A5"/>
    <w:rsid w:val="0083573C"/>
    <w:rsid w:val="00837DE4"/>
    <w:rsid w:val="0084586E"/>
    <w:rsid w:val="008465EC"/>
    <w:rsid w:val="0084709B"/>
    <w:rsid w:val="0085184A"/>
    <w:rsid w:val="00856B4A"/>
    <w:rsid w:val="00860C66"/>
    <w:rsid w:val="00862822"/>
    <w:rsid w:val="0086416A"/>
    <w:rsid w:val="0087062A"/>
    <w:rsid w:val="0088206E"/>
    <w:rsid w:val="00885A31"/>
    <w:rsid w:val="00893C52"/>
    <w:rsid w:val="00897282"/>
    <w:rsid w:val="008A0E88"/>
    <w:rsid w:val="008B3420"/>
    <w:rsid w:val="008B50E8"/>
    <w:rsid w:val="008B70B1"/>
    <w:rsid w:val="008C6812"/>
    <w:rsid w:val="008D0654"/>
    <w:rsid w:val="008D5785"/>
    <w:rsid w:val="008E6F47"/>
    <w:rsid w:val="008F7429"/>
    <w:rsid w:val="0090247B"/>
    <w:rsid w:val="00902769"/>
    <w:rsid w:val="009046AF"/>
    <w:rsid w:val="009102FB"/>
    <w:rsid w:val="0091064B"/>
    <w:rsid w:val="00912D58"/>
    <w:rsid w:val="00914A4E"/>
    <w:rsid w:val="009211B9"/>
    <w:rsid w:val="00921BE7"/>
    <w:rsid w:val="00926232"/>
    <w:rsid w:val="0093149F"/>
    <w:rsid w:val="00945B36"/>
    <w:rsid w:val="00967812"/>
    <w:rsid w:val="00967E54"/>
    <w:rsid w:val="00973BA9"/>
    <w:rsid w:val="0099105E"/>
    <w:rsid w:val="009940DA"/>
    <w:rsid w:val="009949B3"/>
    <w:rsid w:val="009A358D"/>
    <w:rsid w:val="009A6648"/>
    <w:rsid w:val="009B0945"/>
    <w:rsid w:val="009B30C6"/>
    <w:rsid w:val="009B6106"/>
    <w:rsid w:val="009B6AE2"/>
    <w:rsid w:val="009B7587"/>
    <w:rsid w:val="009B7ABD"/>
    <w:rsid w:val="009C0996"/>
    <w:rsid w:val="009C231E"/>
    <w:rsid w:val="009C38A6"/>
    <w:rsid w:val="009C3E25"/>
    <w:rsid w:val="009D1489"/>
    <w:rsid w:val="009D600F"/>
    <w:rsid w:val="009E3F5D"/>
    <w:rsid w:val="009E6B6B"/>
    <w:rsid w:val="009E7632"/>
    <w:rsid w:val="009F75F0"/>
    <w:rsid w:val="00A00C4E"/>
    <w:rsid w:val="00A112AE"/>
    <w:rsid w:val="00A122ED"/>
    <w:rsid w:val="00A24A03"/>
    <w:rsid w:val="00A35764"/>
    <w:rsid w:val="00A40508"/>
    <w:rsid w:val="00A40E8E"/>
    <w:rsid w:val="00A4213E"/>
    <w:rsid w:val="00A42DC6"/>
    <w:rsid w:val="00A46301"/>
    <w:rsid w:val="00A47D50"/>
    <w:rsid w:val="00A50B42"/>
    <w:rsid w:val="00A55A9B"/>
    <w:rsid w:val="00A56B4B"/>
    <w:rsid w:val="00A60FB3"/>
    <w:rsid w:val="00A62A0C"/>
    <w:rsid w:val="00A66B5A"/>
    <w:rsid w:val="00A70776"/>
    <w:rsid w:val="00A712BA"/>
    <w:rsid w:val="00A73588"/>
    <w:rsid w:val="00A74DB8"/>
    <w:rsid w:val="00A75E52"/>
    <w:rsid w:val="00A84AF4"/>
    <w:rsid w:val="00A85656"/>
    <w:rsid w:val="00A85B69"/>
    <w:rsid w:val="00A92F7A"/>
    <w:rsid w:val="00A939FC"/>
    <w:rsid w:val="00A93E2D"/>
    <w:rsid w:val="00A9408B"/>
    <w:rsid w:val="00AA07A8"/>
    <w:rsid w:val="00AA5216"/>
    <w:rsid w:val="00AA7232"/>
    <w:rsid w:val="00AB2CE2"/>
    <w:rsid w:val="00AB2FC2"/>
    <w:rsid w:val="00AB5BA4"/>
    <w:rsid w:val="00AC44D4"/>
    <w:rsid w:val="00AC606D"/>
    <w:rsid w:val="00AD02A5"/>
    <w:rsid w:val="00AD59DB"/>
    <w:rsid w:val="00AF3A84"/>
    <w:rsid w:val="00AF765E"/>
    <w:rsid w:val="00B2030A"/>
    <w:rsid w:val="00B2110A"/>
    <w:rsid w:val="00B23242"/>
    <w:rsid w:val="00B25856"/>
    <w:rsid w:val="00B307D6"/>
    <w:rsid w:val="00B32ADF"/>
    <w:rsid w:val="00B3557C"/>
    <w:rsid w:val="00B36739"/>
    <w:rsid w:val="00B41390"/>
    <w:rsid w:val="00B43EA5"/>
    <w:rsid w:val="00B45A81"/>
    <w:rsid w:val="00B50D6A"/>
    <w:rsid w:val="00B56734"/>
    <w:rsid w:val="00B60F34"/>
    <w:rsid w:val="00B62959"/>
    <w:rsid w:val="00B6503C"/>
    <w:rsid w:val="00B6606B"/>
    <w:rsid w:val="00B8213C"/>
    <w:rsid w:val="00B87E50"/>
    <w:rsid w:val="00B90602"/>
    <w:rsid w:val="00B94738"/>
    <w:rsid w:val="00BA7E27"/>
    <w:rsid w:val="00BB0779"/>
    <w:rsid w:val="00BB168D"/>
    <w:rsid w:val="00BB1D15"/>
    <w:rsid w:val="00BC0C64"/>
    <w:rsid w:val="00BC12B8"/>
    <w:rsid w:val="00BC1F34"/>
    <w:rsid w:val="00BC2E08"/>
    <w:rsid w:val="00BD0D2D"/>
    <w:rsid w:val="00BD2B5F"/>
    <w:rsid w:val="00BD3DD2"/>
    <w:rsid w:val="00BD65B9"/>
    <w:rsid w:val="00BE006D"/>
    <w:rsid w:val="00BE1290"/>
    <w:rsid w:val="00BE1FEB"/>
    <w:rsid w:val="00BE38D2"/>
    <w:rsid w:val="00BE4B56"/>
    <w:rsid w:val="00BE6A61"/>
    <w:rsid w:val="00BF2B51"/>
    <w:rsid w:val="00C00178"/>
    <w:rsid w:val="00C01270"/>
    <w:rsid w:val="00C02295"/>
    <w:rsid w:val="00C041EE"/>
    <w:rsid w:val="00C0583A"/>
    <w:rsid w:val="00C059BC"/>
    <w:rsid w:val="00C068DE"/>
    <w:rsid w:val="00C14579"/>
    <w:rsid w:val="00C20845"/>
    <w:rsid w:val="00C31058"/>
    <w:rsid w:val="00C32793"/>
    <w:rsid w:val="00C3337E"/>
    <w:rsid w:val="00C353D1"/>
    <w:rsid w:val="00C37F07"/>
    <w:rsid w:val="00C37FF7"/>
    <w:rsid w:val="00C40313"/>
    <w:rsid w:val="00C52D6C"/>
    <w:rsid w:val="00C662D1"/>
    <w:rsid w:val="00C738C0"/>
    <w:rsid w:val="00C7653F"/>
    <w:rsid w:val="00C83218"/>
    <w:rsid w:val="00C83EC6"/>
    <w:rsid w:val="00C87E15"/>
    <w:rsid w:val="00C92E9E"/>
    <w:rsid w:val="00CA53D0"/>
    <w:rsid w:val="00CA6804"/>
    <w:rsid w:val="00CA7FAD"/>
    <w:rsid w:val="00CB4253"/>
    <w:rsid w:val="00CB7487"/>
    <w:rsid w:val="00CB7A69"/>
    <w:rsid w:val="00CD4E1B"/>
    <w:rsid w:val="00CD70BB"/>
    <w:rsid w:val="00CE0F48"/>
    <w:rsid w:val="00CF1B9B"/>
    <w:rsid w:val="00CF63BB"/>
    <w:rsid w:val="00CF70E4"/>
    <w:rsid w:val="00D00558"/>
    <w:rsid w:val="00D031D8"/>
    <w:rsid w:val="00D06F21"/>
    <w:rsid w:val="00D1041F"/>
    <w:rsid w:val="00D11767"/>
    <w:rsid w:val="00D206AF"/>
    <w:rsid w:val="00D22A15"/>
    <w:rsid w:val="00D26FE1"/>
    <w:rsid w:val="00D27FF6"/>
    <w:rsid w:val="00D37A8D"/>
    <w:rsid w:val="00D40E93"/>
    <w:rsid w:val="00D41198"/>
    <w:rsid w:val="00D44364"/>
    <w:rsid w:val="00D4710E"/>
    <w:rsid w:val="00D523F5"/>
    <w:rsid w:val="00D5283A"/>
    <w:rsid w:val="00D55F3D"/>
    <w:rsid w:val="00D57FDE"/>
    <w:rsid w:val="00D64684"/>
    <w:rsid w:val="00D713FD"/>
    <w:rsid w:val="00D7152A"/>
    <w:rsid w:val="00D811FD"/>
    <w:rsid w:val="00D90AEE"/>
    <w:rsid w:val="00D93EEC"/>
    <w:rsid w:val="00DA4DF7"/>
    <w:rsid w:val="00DB184D"/>
    <w:rsid w:val="00DD7731"/>
    <w:rsid w:val="00DE43B0"/>
    <w:rsid w:val="00DE46FC"/>
    <w:rsid w:val="00DE5550"/>
    <w:rsid w:val="00DE59AC"/>
    <w:rsid w:val="00DE6EF8"/>
    <w:rsid w:val="00E00E57"/>
    <w:rsid w:val="00E03F2E"/>
    <w:rsid w:val="00E0695E"/>
    <w:rsid w:val="00E111B3"/>
    <w:rsid w:val="00E1332C"/>
    <w:rsid w:val="00E26A6C"/>
    <w:rsid w:val="00E3504F"/>
    <w:rsid w:val="00E400E3"/>
    <w:rsid w:val="00E43731"/>
    <w:rsid w:val="00E45B78"/>
    <w:rsid w:val="00E47AC4"/>
    <w:rsid w:val="00E505F8"/>
    <w:rsid w:val="00E52A5E"/>
    <w:rsid w:val="00E6690E"/>
    <w:rsid w:val="00E72BA3"/>
    <w:rsid w:val="00E7797E"/>
    <w:rsid w:val="00E8029D"/>
    <w:rsid w:val="00E82A5E"/>
    <w:rsid w:val="00E913BC"/>
    <w:rsid w:val="00E945B7"/>
    <w:rsid w:val="00E95EE5"/>
    <w:rsid w:val="00EA31A4"/>
    <w:rsid w:val="00EA391E"/>
    <w:rsid w:val="00EB19EA"/>
    <w:rsid w:val="00EB25B5"/>
    <w:rsid w:val="00EB5FDE"/>
    <w:rsid w:val="00EB713B"/>
    <w:rsid w:val="00EB71C1"/>
    <w:rsid w:val="00EB7D35"/>
    <w:rsid w:val="00EC4775"/>
    <w:rsid w:val="00EC7714"/>
    <w:rsid w:val="00ED164A"/>
    <w:rsid w:val="00ED6192"/>
    <w:rsid w:val="00EE1A43"/>
    <w:rsid w:val="00EE290D"/>
    <w:rsid w:val="00EE3741"/>
    <w:rsid w:val="00EE4622"/>
    <w:rsid w:val="00EE7EDC"/>
    <w:rsid w:val="00EF29F7"/>
    <w:rsid w:val="00EF3144"/>
    <w:rsid w:val="00F0059D"/>
    <w:rsid w:val="00F01EE5"/>
    <w:rsid w:val="00F13C70"/>
    <w:rsid w:val="00F16421"/>
    <w:rsid w:val="00F34996"/>
    <w:rsid w:val="00F40B4D"/>
    <w:rsid w:val="00F40D21"/>
    <w:rsid w:val="00F41FF7"/>
    <w:rsid w:val="00F579B1"/>
    <w:rsid w:val="00F60857"/>
    <w:rsid w:val="00F632B7"/>
    <w:rsid w:val="00F65BE5"/>
    <w:rsid w:val="00F662CC"/>
    <w:rsid w:val="00F73B08"/>
    <w:rsid w:val="00F766F6"/>
    <w:rsid w:val="00F85DDD"/>
    <w:rsid w:val="00F92FB2"/>
    <w:rsid w:val="00F93238"/>
    <w:rsid w:val="00F95CBF"/>
    <w:rsid w:val="00FA386C"/>
    <w:rsid w:val="00FA4CE7"/>
    <w:rsid w:val="00FA6747"/>
    <w:rsid w:val="00FB74DF"/>
    <w:rsid w:val="00FC1ABD"/>
    <w:rsid w:val="00FC49BD"/>
    <w:rsid w:val="00FC4A81"/>
    <w:rsid w:val="00FC736E"/>
    <w:rsid w:val="00FD1833"/>
    <w:rsid w:val="00FD3DAD"/>
    <w:rsid w:val="00FD40A0"/>
    <w:rsid w:val="00FD69D9"/>
    <w:rsid w:val="00FE1278"/>
    <w:rsid w:val="00FE22B3"/>
    <w:rsid w:val="00FE4A34"/>
    <w:rsid w:val="00FE6594"/>
    <w:rsid w:val="00FE7EE6"/>
    <w:rsid w:val="00FF1876"/>
    <w:rsid w:val="00FF376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E0695E"/>
    <w:pPr>
      <w:autoSpaceDE w:val="0"/>
      <w:autoSpaceDN w:val="0"/>
      <w:adjustRightInd w:val="0"/>
      <w:spacing w:line="240" w:lineRule="auto"/>
    </w:pPr>
    <w:rPr>
      <w:rFonts w:ascii="Times New Roman" w:hAnsi="Times New Roman"/>
      <w:color w:val="000000"/>
      <w:lang w:bidi="ar-SA"/>
    </w:rPr>
  </w:style>
  <w:style w:type="paragraph" w:customStyle="1" w:styleId="Apnd1">
    <w:name w:val="Apnd 1"/>
    <w:basedOn w:val="ListParagraph"/>
    <w:link w:val="Apnd1Char"/>
    <w:qFormat/>
    <w:rsid w:val="005E2E71"/>
    <w:pPr>
      <w:ind w:left="0"/>
    </w:pPr>
    <w:rPr>
      <w:rFonts w:asciiTheme="majorHAnsi" w:eastAsia="Times" w:hAnsiTheme="majorHAnsi" w:cstheme="majorHAnsi"/>
      <w:b/>
      <w:sz w:val="22"/>
      <w:szCs w:val="22"/>
    </w:rPr>
  </w:style>
  <w:style w:type="character" w:customStyle="1" w:styleId="Apnd1Char">
    <w:name w:val="Apnd 1 Char"/>
    <w:basedOn w:val="DefaultParagraphFont"/>
    <w:link w:val="Apnd1"/>
    <w:rsid w:val="005E2E71"/>
    <w:rPr>
      <w:rFonts w:asciiTheme="majorHAnsi" w:eastAsia="Times" w:hAnsiTheme="majorHAnsi" w:cstheme="majorHAnsi"/>
      <w:b/>
      <w:sz w:val="22"/>
      <w:szCs w:val="22"/>
      <w:lang w:bidi="ar-SA"/>
    </w:rPr>
  </w:style>
  <w:style w:type="table" w:styleId="TableGrid">
    <w:name w:val="Table Grid"/>
    <w:basedOn w:val="TableNormal"/>
    <w:uiPriority w:val="59"/>
    <w:rsid w:val="00700F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dquestions@alamed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meda.court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oprl/dprewagedeterminatio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ir.ca.gov/oprl/dprewagedetermination.htm" TargetMode="External"/><Relationship Id="rId4" Type="http://schemas.openxmlformats.org/officeDocument/2006/relationships/settings" Target="settings.xml"/><Relationship Id="rId9" Type="http://schemas.openxmlformats.org/officeDocument/2006/relationships/hyperlink" Target="http://www.alameda.courts.ca.gov" TargetMode="External"/><Relationship Id="rId14" Type="http://schemas.openxmlformats.org/officeDocument/2006/relationships/hyperlink" Target="mailto:bidquestions@alameda.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0AD0-8528-4965-98A4-7628FB17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5693</Words>
  <Characters>32451</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MacDonald, Morgan, Superior Court</cp:lastModifiedBy>
  <cp:revision>2</cp:revision>
  <dcterms:created xsi:type="dcterms:W3CDTF">2020-05-15T20:36:00Z</dcterms:created>
  <dcterms:modified xsi:type="dcterms:W3CDTF">2020-05-15T20:36:00Z</dcterms:modified>
</cp:coreProperties>
</file>