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D0E3" w14:textId="77777777" w:rsidR="00786A60" w:rsidRPr="00786A60" w:rsidRDefault="00786A60" w:rsidP="006D50AD">
      <w:pPr>
        <w:spacing w:after="0"/>
        <w:jc w:val="center"/>
        <w:rPr>
          <w:b/>
        </w:rPr>
      </w:pPr>
    </w:p>
    <w:p w14:paraId="4CAFD5D3" w14:textId="3AE7109D" w:rsidR="00786A60" w:rsidRPr="00786A60" w:rsidRDefault="00786A60" w:rsidP="00786A60">
      <w:pPr>
        <w:spacing w:after="0"/>
        <w:jc w:val="center"/>
        <w:rPr>
          <w:b/>
          <w:sz w:val="28"/>
          <w:szCs w:val="28"/>
        </w:rPr>
      </w:pPr>
      <w:r w:rsidRPr="00786A60">
        <w:rPr>
          <w:b/>
          <w:sz w:val="28"/>
          <w:szCs w:val="28"/>
        </w:rPr>
        <w:t xml:space="preserve">COMPLETED TECHNICAL EVALUATION RESULTS - POSTED </w:t>
      </w:r>
      <w:r w:rsidR="00810D79">
        <w:rPr>
          <w:b/>
          <w:sz w:val="28"/>
          <w:szCs w:val="28"/>
        </w:rPr>
        <w:t>APRIL</w:t>
      </w:r>
      <w:r w:rsidR="003B7A4E">
        <w:rPr>
          <w:b/>
          <w:sz w:val="28"/>
          <w:szCs w:val="28"/>
        </w:rPr>
        <w:t xml:space="preserve"> </w:t>
      </w:r>
      <w:r w:rsidR="00810D79">
        <w:rPr>
          <w:b/>
          <w:sz w:val="28"/>
          <w:szCs w:val="28"/>
        </w:rPr>
        <w:t>2</w:t>
      </w:r>
      <w:r w:rsidR="00B74C5A">
        <w:rPr>
          <w:b/>
          <w:sz w:val="28"/>
          <w:szCs w:val="28"/>
        </w:rPr>
        <w:t>1</w:t>
      </w:r>
      <w:r w:rsidR="003B7A4E">
        <w:rPr>
          <w:b/>
          <w:sz w:val="28"/>
          <w:szCs w:val="28"/>
        </w:rPr>
        <w:t>, 202</w:t>
      </w:r>
      <w:r w:rsidR="00810D79">
        <w:rPr>
          <w:b/>
          <w:sz w:val="28"/>
          <w:szCs w:val="28"/>
        </w:rPr>
        <w:t>6</w:t>
      </w:r>
    </w:p>
    <w:p w14:paraId="089B14D7" w14:textId="79B26ABC" w:rsidR="00786A60" w:rsidRPr="00786A60" w:rsidRDefault="00786A60" w:rsidP="006D50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RFP SC </w:t>
      </w:r>
      <w:r w:rsidR="00810D79">
        <w:rPr>
          <w:b/>
          <w:sz w:val="28"/>
          <w:szCs w:val="28"/>
        </w:rPr>
        <w:t>1801.2026.1.ZX COPIER LEASING SERVICES</w:t>
      </w:r>
    </w:p>
    <w:p w14:paraId="56E937EB" w14:textId="77777777" w:rsidR="00786A60" w:rsidRDefault="00786A60" w:rsidP="0057271B">
      <w:pPr>
        <w:spacing w:after="0"/>
        <w:rPr>
          <w:b/>
          <w:sz w:val="32"/>
          <w:szCs w:val="32"/>
        </w:rPr>
      </w:pPr>
    </w:p>
    <w:tbl>
      <w:tblPr>
        <w:tblStyle w:val="TableGrid1"/>
        <w:tblW w:w="0" w:type="auto"/>
        <w:tblInd w:w="1345" w:type="dxa"/>
        <w:tblLook w:val="04A0" w:firstRow="1" w:lastRow="0" w:firstColumn="1" w:lastColumn="0" w:noHBand="0" w:noVBand="1"/>
      </w:tblPr>
      <w:tblGrid>
        <w:gridCol w:w="4230"/>
        <w:gridCol w:w="2790"/>
      </w:tblGrid>
      <w:tr w:rsidR="00786A60" w:rsidRPr="00786A60" w14:paraId="286DF13D" w14:textId="77777777" w:rsidTr="00233792">
        <w:tc>
          <w:tcPr>
            <w:tcW w:w="4230" w:type="dxa"/>
            <w:shd w:val="clear" w:color="auto" w:fill="B8CCE3"/>
          </w:tcPr>
          <w:p w14:paraId="6A778BF2" w14:textId="77777777" w:rsidR="00786A60" w:rsidRPr="00786A60" w:rsidRDefault="00786A60" w:rsidP="00786A60">
            <w:pPr>
              <w:jc w:val="center"/>
              <w:rPr>
                <w:rFonts w:eastAsiaTheme="minorHAnsi" w:cstheme="minorHAnsi"/>
                <w:b/>
                <w:bCs/>
                <w:sz w:val="12"/>
                <w:szCs w:val="12"/>
                <w:lang w:eastAsia="en-US"/>
              </w:rPr>
            </w:pPr>
          </w:p>
          <w:p w14:paraId="0740C285" w14:textId="77777777" w:rsidR="00786A60" w:rsidRPr="00786A60" w:rsidRDefault="00786A60" w:rsidP="00786A60">
            <w:pPr>
              <w:jc w:val="center"/>
              <w:rPr>
                <w:rFonts w:eastAsiaTheme="minorHAnsi" w:cstheme="minorHAnsi"/>
                <w:b/>
                <w:bCs/>
                <w:sz w:val="12"/>
                <w:szCs w:val="12"/>
                <w:lang w:eastAsia="en-US"/>
              </w:rPr>
            </w:pPr>
            <w:r w:rsidRPr="00786A60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Vendor</w:t>
            </w:r>
          </w:p>
          <w:p w14:paraId="5A73289B" w14:textId="77777777" w:rsidR="00786A60" w:rsidRPr="00786A60" w:rsidRDefault="00786A60" w:rsidP="00786A60">
            <w:pPr>
              <w:jc w:val="center"/>
              <w:rPr>
                <w:rFonts w:eastAsiaTheme="minorHAnsi" w:cstheme="minorHAns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790" w:type="dxa"/>
            <w:shd w:val="clear" w:color="auto" w:fill="B8CCE3"/>
          </w:tcPr>
          <w:p w14:paraId="0EE9964E" w14:textId="77777777" w:rsidR="00786A60" w:rsidRPr="00786A60" w:rsidRDefault="00786A60" w:rsidP="00786A60">
            <w:pPr>
              <w:jc w:val="center"/>
              <w:rPr>
                <w:rFonts w:eastAsiaTheme="minorHAnsi" w:cstheme="minorHAnsi"/>
                <w:b/>
                <w:bCs/>
                <w:sz w:val="12"/>
                <w:szCs w:val="12"/>
                <w:lang w:eastAsia="en-US"/>
              </w:rPr>
            </w:pPr>
          </w:p>
          <w:p w14:paraId="3237F991" w14:textId="77777777" w:rsidR="00786A60" w:rsidRPr="00786A60" w:rsidRDefault="00786A60" w:rsidP="00786A60">
            <w:pPr>
              <w:jc w:val="center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86A60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Total Technical Score</w:t>
            </w:r>
          </w:p>
        </w:tc>
      </w:tr>
      <w:tr w:rsidR="00786A60" w:rsidRPr="00786A60" w14:paraId="61A0E3F6" w14:textId="77777777" w:rsidTr="00233792">
        <w:tc>
          <w:tcPr>
            <w:tcW w:w="4230" w:type="dxa"/>
          </w:tcPr>
          <w:p w14:paraId="72F9097B" w14:textId="54707962" w:rsidR="00786A60" w:rsidRPr="00233792" w:rsidRDefault="00E045E4" w:rsidP="00233792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Pacific Office Automation</w:t>
            </w:r>
          </w:p>
        </w:tc>
        <w:tc>
          <w:tcPr>
            <w:tcW w:w="2790" w:type="dxa"/>
          </w:tcPr>
          <w:p w14:paraId="74830698" w14:textId="0720DE94" w:rsidR="00786A60" w:rsidRPr="00BC6B6B" w:rsidRDefault="00046BCD" w:rsidP="00233792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54.67</w:t>
            </w:r>
          </w:p>
        </w:tc>
      </w:tr>
      <w:tr w:rsidR="00E045E4" w:rsidRPr="00786A60" w14:paraId="1E910206" w14:textId="77777777" w:rsidTr="00233792">
        <w:trPr>
          <w:trHeight w:val="368"/>
        </w:trPr>
        <w:tc>
          <w:tcPr>
            <w:tcW w:w="4230" w:type="dxa"/>
          </w:tcPr>
          <w:p w14:paraId="322A3B66" w14:textId="2D761EB4" w:rsidR="00E045E4" w:rsidRPr="00233792" w:rsidRDefault="0078588C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78588C">
              <w:rPr>
                <w:rFonts w:eastAsiaTheme="minorHAnsi" w:cstheme="minorHAnsi"/>
                <w:sz w:val="24"/>
                <w:szCs w:val="24"/>
                <w:lang w:eastAsia="en-US"/>
              </w:rPr>
              <w:t>Flex Technology Group</w:t>
            </w:r>
          </w:p>
        </w:tc>
        <w:tc>
          <w:tcPr>
            <w:tcW w:w="2790" w:type="dxa"/>
          </w:tcPr>
          <w:p w14:paraId="33BE174F" w14:textId="227D4B77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48</w:t>
            </w:r>
          </w:p>
        </w:tc>
      </w:tr>
      <w:tr w:rsidR="00E045E4" w:rsidRPr="00786A60" w14:paraId="68C3F51B" w14:textId="77777777" w:rsidTr="00233792">
        <w:tc>
          <w:tcPr>
            <w:tcW w:w="4230" w:type="dxa"/>
          </w:tcPr>
          <w:p w14:paraId="17E87B8C" w14:textId="3CF14C72" w:rsidR="00E045E4" w:rsidRPr="00233792" w:rsidRDefault="00046BCD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046BCD">
              <w:rPr>
                <w:rFonts w:eastAsiaTheme="minorHAnsi" w:cstheme="minorHAnsi"/>
                <w:sz w:val="24"/>
                <w:szCs w:val="24"/>
                <w:lang w:eastAsia="en-US"/>
              </w:rPr>
              <w:t>Smile Business Products, Inc</w:t>
            </w:r>
          </w:p>
        </w:tc>
        <w:tc>
          <w:tcPr>
            <w:tcW w:w="2790" w:type="dxa"/>
          </w:tcPr>
          <w:p w14:paraId="252DCAA5" w14:textId="72FAD833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47.67</w:t>
            </w:r>
          </w:p>
        </w:tc>
      </w:tr>
      <w:tr w:rsidR="00E045E4" w:rsidRPr="00786A60" w14:paraId="1B0837D0" w14:textId="77777777" w:rsidTr="00233792">
        <w:tc>
          <w:tcPr>
            <w:tcW w:w="4230" w:type="dxa"/>
          </w:tcPr>
          <w:p w14:paraId="5AEF9367" w14:textId="5E32A254" w:rsidR="00E045E4" w:rsidRPr="00233792" w:rsidRDefault="00046BCD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Xerox Business Solutions</w:t>
            </w:r>
          </w:p>
        </w:tc>
        <w:tc>
          <w:tcPr>
            <w:tcW w:w="2790" w:type="dxa"/>
          </w:tcPr>
          <w:p w14:paraId="33F6B846" w14:textId="1DFFAE0C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43.67</w:t>
            </w:r>
          </w:p>
        </w:tc>
      </w:tr>
      <w:tr w:rsidR="00E045E4" w:rsidRPr="00786A60" w14:paraId="4C83EEE0" w14:textId="77777777" w:rsidTr="00233792">
        <w:tc>
          <w:tcPr>
            <w:tcW w:w="4230" w:type="dxa"/>
          </w:tcPr>
          <w:p w14:paraId="78761BB3" w14:textId="26525270" w:rsidR="00E045E4" w:rsidRPr="00233792" w:rsidRDefault="00046BCD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Konica Minolta Business Solutions U.S.A., Inc</w:t>
            </w:r>
          </w:p>
        </w:tc>
        <w:tc>
          <w:tcPr>
            <w:tcW w:w="2790" w:type="dxa"/>
          </w:tcPr>
          <w:p w14:paraId="66119B69" w14:textId="748E4F9D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41.67</w:t>
            </w:r>
          </w:p>
        </w:tc>
      </w:tr>
      <w:tr w:rsidR="00E045E4" w:rsidRPr="00786A60" w14:paraId="1A856975" w14:textId="77777777" w:rsidTr="00233792">
        <w:tc>
          <w:tcPr>
            <w:tcW w:w="4230" w:type="dxa"/>
          </w:tcPr>
          <w:p w14:paraId="42CCA5B8" w14:textId="266561C8" w:rsidR="00E045E4" w:rsidRPr="00233792" w:rsidRDefault="00E045E4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UBEO Business Services</w:t>
            </w:r>
          </w:p>
        </w:tc>
        <w:tc>
          <w:tcPr>
            <w:tcW w:w="2790" w:type="dxa"/>
          </w:tcPr>
          <w:p w14:paraId="3FFE5165" w14:textId="157F9F38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38.67</w:t>
            </w:r>
          </w:p>
        </w:tc>
      </w:tr>
      <w:tr w:rsidR="00E045E4" w:rsidRPr="00786A60" w14:paraId="5E015CE8" w14:textId="77777777" w:rsidTr="00233792">
        <w:tc>
          <w:tcPr>
            <w:tcW w:w="4230" w:type="dxa"/>
          </w:tcPr>
          <w:p w14:paraId="069AB948" w14:textId="76D0629C" w:rsidR="00E045E4" w:rsidRPr="00233792" w:rsidRDefault="00E045E4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Golden Gate Office Solutions</w:t>
            </w:r>
          </w:p>
        </w:tc>
        <w:tc>
          <w:tcPr>
            <w:tcW w:w="2790" w:type="dxa"/>
          </w:tcPr>
          <w:p w14:paraId="78C2A358" w14:textId="11715678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34.33</w:t>
            </w:r>
          </w:p>
        </w:tc>
      </w:tr>
      <w:tr w:rsidR="00E045E4" w:rsidRPr="00786A60" w14:paraId="3B2194F9" w14:textId="77777777" w:rsidTr="00233792">
        <w:tc>
          <w:tcPr>
            <w:tcW w:w="4230" w:type="dxa"/>
          </w:tcPr>
          <w:p w14:paraId="53A1CE89" w14:textId="1524CEBD" w:rsidR="00E045E4" w:rsidRPr="00233792" w:rsidRDefault="00E045E4" w:rsidP="00E045E4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E045E4">
              <w:rPr>
                <w:rFonts w:eastAsiaTheme="minorHAnsi" w:cstheme="minorHAnsi"/>
                <w:sz w:val="24"/>
                <w:szCs w:val="24"/>
                <w:lang w:eastAsia="en-US"/>
              </w:rPr>
              <w:t>Toshiba Business Solutions</w:t>
            </w:r>
          </w:p>
        </w:tc>
        <w:tc>
          <w:tcPr>
            <w:tcW w:w="2790" w:type="dxa"/>
          </w:tcPr>
          <w:p w14:paraId="017D3331" w14:textId="64A36A65" w:rsidR="00E045E4" w:rsidRPr="00BC6B6B" w:rsidRDefault="00046BCD" w:rsidP="00E045E4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32.00</w:t>
            </w:r>
          </w:p>
        </w:tc>
      </w:tr>
    </w:tbl>
    <w:p w14:paraId="310AC7FA" w14:textId="77777777" w:rsidR="00B53229" w:rsidRDefault="00B53229"/>
    <w:p w14:paraId="5FDA402A" w14:textId="352C633F" w:rsidR="00B53229" w:rsidRDefault="00B53229">
      <w:r>
        <w:t xml:space="preserve">Per RFP SC </w:t>
      </w:r>
      <w:r w:rsidR="00E045E4">
        <w:t>1801.2026.1.</w:t>
      </w:r>
      <w:r w:rsidR="00B86098">
        <w:t>ZX</w:t>
      </w:r>
      <w:r>
        <w:t xml:space="preserve"> Section 9.0, Subsection 9.2, Cost Proposals may be reviewed only if the technical proposal received a score of at least </w:t>
      </w:r>
      <w:r w:rsidR="00E045E4">
        <w:t>42</w:t>
      </w:r>
      <w:r>
        <w:t xml:space="preserve"> points and is deemed to be qualified. </w:t>
      </w:r>
    </w:p>
    <w:p w14:paraId="40C1D74B" w14:textId="0D5B1FE1" w:rsidR="0057271B" w:rsidRDefault="0057271B">
      <w:r>
        <w:t>Per RFP</w:t>
      </w:r>
      <w:r w:rsidR="00B53229">
        <w:t xml:space="preserve"> SC </w:t>
      </w:r>
      <w:r w:rsidR="00932BF3">
        <w:t>1</w:t>
      </w:r>
      <w:r w:rsidR="00E045E4">
        <w:t>801</w:t>
      </w:r>
      <w:r w:rsidR="00932BF3">
        <w:t>.202</w:t>
      </w:r>
      <w:r w:rsidR="00E045E4">
        <w:t>6</w:t>
      </w:r>
      <w:r w:rsidR="00932BF3">
        <w:t xml:space="preserve">.1.ZX </w:t>
      </w:r>
      <w:r w:rsidR="00B53229">
        <w:t>S</w:t>
      </w:r>
      <w:r>
        <w:t xml:space="preserve">ection 9.0, the Court will not make an award to a bidder with a technical score less than </w:t>
      </w:r>
      <w:r w:rsidR="00E045E4">
        <w:t>42</w:t>
      </w:r>
      <w:r>
        <w:t xml:space="preserve"> points (70% of the available technical proposal points).  </w:t>
      </w:r>
    </w:p>
    <w:p w14:paraId="2404A657" w14:textId="616E102D" w:rsidR="007B13B0" w:rsidRPr="007B13B0" w:rsidRDefault="007B13B0" w:rsidP="007B13B0"/>
    <w:p w14:paraId="566F6D81" w14:textId="0BC8E1EE" w:rsidR="007B13B0" w:rsidRDefault="007B13B0" w:rsidP="007B13B0"/>
    <w:p w14:paraId="349028CD" w14:textId="197A02F0" w:rsidR="007B13B0" w:rsidRPr="007B13B0" w:rsidRDefault="007B13B0" w:rsidP="007B13B0">
      <w:pPr>
        <w:tabs>
          <w:tab w:val="left" w:pos="6900"/>
        </w:tabs>
      </w:pPr>
      <w:r>
        <w:tab/>
      </w:r>
    </w:p>
    <w:sectPr w:rsidR="007B13B0" w:rsidRPr="007B13B0" w:rsidSect="00B86098"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2219" w14:textId="77777777" w:rsidR="003E39CF" w:rsidRDefault="003E39CF" w:rsidP="006D50AD">
      <w:pPr>
        <w:spacing w:after="0" w:line="240" w:lineRule="auto"/>
      </w:pPr>
      <w:r>
        <w:separator/>
      </w:r>
    </w:p>
  </w:endnote>
  <w:endnote w:type="continuationSeparator" w:id="0">
    <w:p w14:paraId="343707B5" w14:textId="77777777" w:rsidR="003E39CF" w:rsidRDefault="003E39CF" w:rsidP="006D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BA0F" w14:textId="77777777" w:rsidR="003E39CF" w:rsidRDefault="003E39CF" w:rsidP="006D50AD">
      <w:pPr>
        <w:spacing w:after="0" w:line="240" w:lineRule="auto"/>
      </w:pPr>
      <w:r>
        <w:separator/>
      </w:r>
    </w:p>
  </w:footnote>
  <w:footnote w:type="continuationSeparator" w:id="0">
    <w:p w14:paraId="29DF59B9" w14:textId="77777777" w:rsidR="003E39CF" w:rsidRDefault="003E39CF" w:rsidP="006D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0"/>
    </w:tblGrid>
    <w:tr w:rsidR="00B86098" w14:paraId="79FBB7FF" w14:textId="77777777" w:rsidTr="0036321B">
      <w:trPr>
        <w:trHeight w:hRule="exact" w:val="1530"/>
      </w:trPr>
      <w:tc>
        <w:tcPr>
          <w:tcW w:w="10260" w:type="dxa"/>
        </w:tcPr>
        <w:p w14:paraId="6C57A903" w14:textId="77777777" w:rsidR="00B86098" w:rsidRDefault="00B86098" w:rsidP="00B86098">
          <w:pPr>
            <w:rPr>
              <w:rStyle w:val="Rockwell11"/>
            </w:rPr>
          </w:pPr>
          <w:bookmarkStart w:id="0" w:name="_Hlk85543633"/>
          <w:r>
            <w:rPr>
              <w:noProof/>
              <w:lang w:eastAsia="en-US"/>
            </w:rPr>
            <w:drawing>
              <wp:inline distT="0" distB="0" distL="0" distR="0" wp14:anchorId="57454F35" wp14:editId="18FC8EF4">
                <wp:extent cx="942975" cy="942975"/>
                <wp:effectExtent l="0" t="0" r="9525" b="9525"/>
                <wp:docPr id="1196983276" name="Picture 1196983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6098" w14:paraId="39A977F6" w14:textId="77777777" w:rsidTr="0036321B">
      <w:trPr>
        <w:trHeight w:val="93"/>
      </w:trPr>
      <w:tc>
        <w:tcPr>
          <w:tcW w:w="10260" w:type="dxa"/>
        </w:tcPr>
        <w:p w14:paraId="48CE9EA8" w14:textId="77777777" w:rsidR="00B86098" w:rsidRPr="00A96C6C" w:rsidRDefault="00B86098" w:rsidP="00B86098">
          <w:pPr>
            <w:pStyle w:val="NoSpacing"/>
            <w:rPr>
              <w:rStyle w:val="Rockwell11"/>
              <w:sz w:val="16"/>
              <w:szCs w:val="16"/>
            </w:rPr>
          </w:pPr>
        </w:p>
      </w:tc>
    </w:tr>
    <w:tr w:rsidR="00B86098" w14:paraId="61B0D0C0" w14:textId="77777777" w:rsidTr="0036321B">
      <w:tc>
        <w:tcPr>
          <w:tcW w:w="10260" w:type="dxa"/>
        </w:tcPr>
        <w:sdt>
          <w:sdtPr>
            <w:rPr>
              <w:rStyle w:val="Rockwell11"/>
            </w:rPr>
            <w:alias w:val="Division"/>
            <w:tag w:val="Division"/>
            <w:id w:val="53438928"/>
          </w:sdtPr>
          <w:sdtEndPr>
            <w:rPr>
              <w:rStyle w:val="DefaultParagraphFont"/>
              <w:rFonts w:asciiTheme="minorHAnsi" w:hAnsiTheme="minorHAnsi" w:cs="Calibri"/>
            </w:rPr>
          </w:sdtEndPr>
          <w:sdtContent>
            <w:p w14:paraId="356BE58B" w14:textId="77777777" w:rsidR="00B86098" w:rsidRDefault="00B86098" w:rsidP="00B86098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>Superior Court of California, County of Alameda</w:t>
              </w:r>
            </w:p>
          </w:sdtContent>
        </w:sdt>
        <w:p w14:paraId="0751E2C9" w14:textId="77777777" w:rsidR="00B86098" w:rsidRDefault="003E39CF" w:rsidP="00B86098">
          <w:pPr>
            <w:pStyle w:val="NoSpacing"/>
            <w:rPr>
              <w:rStyle w:val="Rockwell11"/>
            </w:rPr>
          </w:pPr>
          <w:sdt>
            <w:sdtPr>
              <w:rPr>
                <w:rStyle w:val="Rockwell11"/>
              </w:rPr>
              <w:alias w:val="Location"/>
              <w:tag w:val="Location"/>
              <w:id w:val="-1766535310"/>
            </w:sdtPr>
            <w:sdtEndPr>
              <w:rPr>
                <w:rStyle w:val="DefaultParagraphFont"/>
                <w:rFonts w:asciiTheme="minorHAnsi" w:hAnsiTheme="minorHAnsi" w:cs="Calibri"/>
              </w:rPr>
            </w:sdtEndPr>
            <w:sdtContent>
              <w:r w:rsidR="00B86098">
                <w:rPr>
                  <w:rStyle w:val="Rockwell11"/>
                </w:rPr>
                <w:t>René C. Davidson Courthouse</w:t>
              </w:r>
            </w:sdtContent>
          </w:sdt>
          <w:r w:rsidR="00B86098">
            <w:rPr>
              <w:rStyle w:val="Rockwell11"/>
            </w:rPr>
            <w:t xml:space="preserve">  </w:t>
          </w:r>
        </w:p>
        <w:p w14:paraId="6B75F1F6" w14:textId="37B9117E" w:rsidR="00B86098" w:rsidRPr="006D50AD" w:rsidRDefault="00B86098" w:rsidP="00B86098">
          <w:pPr>
            <w:pStyle w:val="NoSpacing"/>
            <w:rPr>
              <w:rStyle w:val="Rockwell11"/>
            </w:rPr>
          </w:pPr>
          <w:r>
            <w:rPr>
              <w:rStyle w:val="Rockwell11"/>
            </w:rPr>
            <w:t>Procurement Unit, SC 1</w:t>
          </w:r>
          <w:r w:rsidR="00B74C5A">
            <w:rPr>
              <w:rStyle w:val="Rockwell11"/>
            </w:rPr>
            <w:t>801</w:t>
          </w:r>
          <w:r>
            <w:rPr>
              <w:rStyle w:val="Rockwell11"/>
            </w:rPr>
            <w:t>.202</w:t>
          </w:r>
          <w:r w:rsidR="00B74C5A">
            <w:rPr>
              <w:rStyle w:val="Rockwell11"/>
            </w:rPr>
            <w:t>6</w:t>
          </w:r>
          <w:r>
            <w:rPr>
              <w:rStyle w:val="Rockwell11"/>
            </w:rPr>
            <w:t>.1.ZX</w:t>
          </w:r>
        </w:p>
        <w:sdt>
          <w:sdtPr>
            <w:rPr>
              <w:rStyle w:val="Rockwell11"/>
            </w:rPr>
            <w:alias w:val="Address"/>
            <w:tag w:val="Address"/>
            <w:id w:val="-1302842553"/>
          </w:sdtPr>
          <w:sdtEndPr>
            <w:rPr>
              <w:rStyle w:val="DefaultParagraphFont"/>
              <w:rFonts w:asciiTheme="minorHAnsi" w:hAnsiTheme="minorHAnsi" w:cs="Calibri"/>
            </w:rPr>
          </w:sdtEndPr>
          <w:sdtContent>
            <w:p w14:paraId="26D06C5F" w14:textId="77777777" w:rsidR="00B86098" w:rsidRDefault="00B86098" w:rsidP="00B86098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>1225 Fallon Street, Room 210</w:t>
              </w:r>
            </w:p>
            <w:p w14:paraId="24DA31AF" w14:textId="77777777" w:rsidR="00B86098" w:rsidRDefault="00B86098" w:rsidP="00B86098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>Oakland, CA 94612</w:t>
              </w:r>
            </w:p>
          </w:sdtContent>
        </w:sdt>
      </w:tc>
    </w:tr>
    <w:bookmarkEnd w:id="0"/>
  </w:tbl>
  <w:p w14:paraId="5FBFB851" w14:textId="77777777" w:rsidR="00B86098" w:rsidRDefault="00B86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AD"/>
    <w:rsid w:val="00046BCD"/>
    <w:rsid w:val="000A7D91"/>
    <w:rsid w:val="001B7B79"/>
    <w:rsid w:val="00233792"/>
    <w:rsid w:val="00265D10"/>
    <w:rsid w:val="002A7064"/>
    <w:rsid w:val="002B1DF7"/>
    <w:rsid w:val="003A6555"/>
    <w:rsid w:val="003B7A4E"/>
    <w:rsid w:val="003C4C78"/>
    <w:rsid w:val="003E39CF"/>
    <w:rsid w:val="004D7AAA"/>
    <w:rsid w:val="00553081"/>
    <w:rsid w:val="0057271B"/>
    <w:rsid w:val="00656A46"/>
    <w:rsid w:val="006D50AD"/>
    <w:rsid w:val="0078588C"/>
    <w:rsid w:val="00786A60"/>
    <w:rsid w:val="007B13B0"/>
    <w:rsid w:val="00810D79"/>
    <w:rsid w:val="0086484F"/>
    <w:rsid w:val="008E005A"/>
    <w:rsid w:val="00932BF3"/>
    <w:rsid w:val="009D0A71"/>
    <w:rsid w:val="00A62997"/>
    <w:rsid w:val="00AB3C4B"/>
    <w:rsid w:val="00B361F0"/>
    <w:rsid w:val="00B53229"/>
    <w:rsid w:val="00B74C5A"/>
    <w:rsid w:val="00B86098"/>
    <w:rsid w:val="00BA020D"/>
    <w:rsid w:val="00BC6B6B"/>
    <w:rsid w:val="00D85C84"/>
    <w:rsid w:val="00DD3362"/>
    <w:rsid w:val="00DE6DA1"/>
    <w:rsid w:val="00E045E4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36263"/>
  <w15:chartTrackingRefBased/>
  <w15:docId w15:val="{B453F46D-9442-4ECF-BDD9-D87B195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A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AD"/>
  </w:style>
  <w:style w:type="paragraph" w:styleId="Footer">
    <w:name w:val="footer"/>
    <w:basedOn w:val="Normal"/>
    <w:link w:val="FooterChar"/>
    <w:uiPriority w:val="99"/>
    <w:unhideWhenUsed/>
    <w:rsid w:val="006D5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AD"/>
  </w:style>
  <w:style w:type="table" w:styleId="TableGrid">
    <w:name w:val="Table Grid"/>
    <w:basedOn w:val="TableNormal"/>
    <w:uiPriority w:val="59"/>
    <w:rsid w:val="006D50A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ckwell11">
    <w:name w:val="Rockwell11"/>
    <w:basedOn w:val="DefaultParagraphFont"/>
    <w:uiPriority w:val="1"/>
    <w:rsid w:val="006D50AD"/>
    <w:rPr>
      <w:rFonts w:ascii="Rockwell" w:hAnsi="Rockwell"/>
      <w:sz w:val="22"/>
    </w:rPr>
  </w:style>
  <w:style w:type="paragraph" w:styleId="NoSpacing">
    <w:name w:val="No Spacing"/>
    <w:uiPriority w:val="1"/>
    <w:qFormat/>
    <w:rsid w:val="006D50AD"/>
    <w:pPr>
      <w:spacing w:after="0" w:line="240" w:lineRule="auto"/>
    </w:pPr>
    <w:rPr>
      <w:rFonts w:eastAsiaTheme="minorEastAsia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D50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71"/>
    <w:rPr>
      <w:rFonts w:ascii="Segoe UI" w:eastAsiaTheme="minorEastAsia" w:hAnsi="Segoe UI" w:cs="Segoe UI"/>
      <w:sz w:val="18"/>
      <w:szCs w:val="18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78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AD343E7510F4E9A5E3C12B0CA276E" ma:contentTypeVersion="5" ma:contentTypeDescription="Create a new document." ma:contentTypeScope="" ma:versionID="83faf52672b2ca92bc40ebeaf86a79c6">
  <xsd:schema xmlns:xsd="http://www.w3.org/2001/XMLSchema" xmlns:xs="http://www.w3.org/2001/XMLSchema" xmlns:p="http://schemas.microsoft.com/office/2006/metadata/properties" xmlns:ns3="36cc5979-5e3d-42e1-a9ea-a10e024d6c90" targetNamespace="http://schemas.microsoft.com/office/2006/metadata/properties" ma:root="true" ma:fieldsID="9c416ca6caca07ddd8483396f064d762" ns3:_="">
    <xsd:import namespace="36cc5979-5e3d-42e1-a9ea-a10e024d6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5979-5e3d-42e1-a9ea-a10e024d6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1DB40-5DED-472C-99CB-49D805A1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c5979-5e3d-42e1-a9ea-a10e024d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4903-B6B8-4AA4-AD88-3A9CF083E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A57DF-A72A-4C24-9028-FA56F49DA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</Words>
  <Characters>678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Alameda Superior Court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Ficenec, Caroline, Superior Court</dc:creator>
  <cp:keywords/>
  <dc:description/>
  <cp:lastModifiedBy>Xie, Zoey, Superior Court</cp:lastModifiedBy>
  <cp:revision>20</cp:revision>
  <cp:lastPrinted>2025-12-16T17:47:00Z</cp:lastPrinted>
  <dcterms:created xsi:type="dcterms:W3CDTF">2021-11-01T22:00:00Z</dcterms:created>
  <dcterms:modified xsi:type="dcterms:W3CDTF">2026-04-21T23:12:00Z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0x010100F1FAD343E7510F4E9A5E3C12B0CA276E</vt:lpwstr>
  </property>
</Properties>
</file>